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4885" w:type="dxa"/>
        <w:tblInd w:w="-318" w:type="dxa"/>
        <w:tblLook w:val="04A0" w:firstRow="1" w:lastRow="0" w:firstColumn="1" w:lastColumn="0" w:noHBand="0" w:noVBand="1"/>
      </w:tblPr>
      <w:tblGrid>
        <w:gridCol w:w="8648"/>
        <w:gridCol w:w="6237"/>
      </w:tblGrid>
      <w:tr w:rsidR="00262303" w:rsidRPr="000E4425" w14:paraId="781FBBC6" w14:textId="77777777" w:rsidTr="00184E55">
        <w:trPr>
          <w:trHeight w:val="418"/>
          <w:tblHeader/>
        </w:trPr>
        <w:tc>
          <w:tcPr>
            <w:tcW w:w="14885" w:type="dxa"/>
            <w:gridSpan w:val="2"/>
            <w:tcBorders>
              <w:bottom w:val="single" w:sz="4" w:space="0" w:color="auto"/>
            </w:tcBorders>
            <w:hideMark/>
          </w:tcPr>
          <w:p w14:paraId="5D754D34" w14:textId="5B7460AB" w:rsidR="00262303" w:rsidRPr="004B211A" w:rsidRDefault="00262303" w:rsidP="00184E55">
            <w:pPr>
              <w:spacing w:before="60" w:after="60"/>
              <w:jc w:val="center"/>
              <w:rPr>
                <w:b/>
                <w:bCs/>
                <w:lang w:val="fr-BE"/>
              </w:rPr>
            </w:pPr>
            <w:bookmarkStart w:id="0" w:name="_GoBack"/>
            <w:bookmarkEnd w:id="0"/>
            <w:r w:rsidRPr="004B211A">
              <w:rPr>
                <w:b/>
                <w:bCs/>
                <w:lang w:val="fr-BE"/>
              </w:rPr>
              <w:t>Clarifications N° 1 suite à la publication de l'avis de marché pour</w:t>
            </w:r>
            <w:r>
              <w:rPr>
                <w:b/>
                <w:bCs/>
                <w:lang w:val="fr-BE"/>
              </w:rPr>
              <w:t xml:space="preserve"> AO </w:t>
            </w:r>
            <w:r w:rsidRPr="004B211A">
              <w:rPr>
                <w:b/>
                <w:lang w:val="fr-BE"/>
              </w:rPr>
              <w:t>EuropeAid / 140</w:t>
            </w:r>
            <w:r w:rsidR="00820F2B">
              <w:rPr>
                <w:b/>
                <w:lang w:val="fr-BE"/>
              </w:rPr>
              <w:t>483</w:t>
            </w:r>
            <w:r w:rsidRPr="004B211A">
              <w:rPr>
                <w:b/>
                <w:lang w:val="fr-BE"/>
              </w:rPr>
              <w:t xml:space="preserve"> / IH / SER / BJ</w:t>
            </w:r>
          </w:p>
        </w:tc>
      </w:tr>
      <w:tr w:rsidR="004B211A" w:rsidRPr="004B211A" w14:paraId="51B2E982" w14:textId="77777777" w:rsidTr="00184E55">
        <w:trPr>
          <w:trHeight w:val="217"/>
          <w:tblHeader/>
        </w:trPr>
        <w:tc>
          <w:tcPr>
            <w:tcW w:w="8648" w:type="dxa"/>
            <w:shd w:val="clear" w:color="auto" w:fill="E5DFEC" w:themeFill="accent4" w:themeFillTint="33"/>
          </w:tcPr>
          <w:p w14:paraId="74738CBE" w14:textId="77777777" w:rsidR="004B211A" w:rsidRPr="004B211A" w:rsidRDefault="00262303" w:rsidP="00184E55">
            <w:pPr>
              <w:spacing w:before="60" w:after="60"/>
              <w:jc w:val="center"/>
              <w:rPr>
                <w:b/>
                <w:bCs/>
              </w:rPr>
            </w:pPr>
            <w:r w:rsidRPr="004B211A">
              <w:rPr>
                <w:b/>
                <w:bCs/>
              </w:rPr>
              <w:t>CLARIFICATIONS DEMANDÉE</w:t>
            </w:r>
            <w:r>
              <w:rPr>
                <w:b/>
                <w:bCs/>
              </w:rPr>
              <w:t>S</w:t>
            </w:r>
          </w:p>
        </w:tc>
        <w:tc>
          <w:tcPr>
            <w:tcW w:w="6237" w:type="dxa"/>
            <w:shd w:val="clear" w:color="auto" w:fill="E5DFEC" w:themeFill="accent4" w:themeFillTint="33"/>
          </w:tcPr>
          <w:p w14:paraId="0FEB51EF" w14:textId="77777777" w:rsidR="004B211A" w:rsidRPr="004B211A" w:rsidRDefault="00262303" w:rsidP="00184E55">
            <w:pPr>
              <w:spacing w:before="60" w:after="60"/>
              <w:jc w:val="center"/>
              <w:rPr>
                <w:b/>
                <w:bCs/>
              </w:rPr>
            </w:pPr>
            <w:r w:rsidRPr="004B211A">
              <w:rPr>
                <w:b/>
                <w:bCs/>
              </w:rPr>
              <w:t>RÉPONSE</w:t>
            </w:r>
            <w:r>
              <w:rPr>
                <w:b/>
                <w:bCs/>
              </w:rPr>
              <w:t>S</w:t>
            </w:r>
          </w:p>
        </w:tc>
      </w:tr>
      <w:tr w:rsidR="004B211A" w:rsidRPr="000E4425" w14:paraId="2949CB30" w14:textId="77777777" w:rsidTr="00FC4316">
        <w:trPr>
          <w:trHeight w:val="1719"/>
        </w:trPr>
        <w:tc>
          <w:tcPr>
            <w:tcW w:w="8648" w:type="dxa"/>
            <w:hideMark/>
          </w:tcPr>
          <w:p w14:paraId="57B4F618" w14:textId="77777777" w:rsidR="00262303" w:rsidRDefault="004B211A" w:rsidP="00FC4316">
            <w:pPr>
              <w:spacing w:before="60" w:after="60"/>
              <w:jc w:val="both"/>
              <w:rPr>
                <w:lang w:val="fr-BE"/>
              </w:rPr>
            </w:pPr>
            <w:r w:rsidRPr="00184E55">
              <w:rPr>
                <w:b/>
                <w:u w:val="single"/>
                <w:lang w:val="fr-BE"/>
              </w:rPr>
              <w:t>Question 1:</w:t>
            </w:r>
            <w:r>
              <w:rPr>
                <w:lang w:val="fr-BE"/>
              </w:rPr>
              <w:t xml:space="preserve"> </w:t>
            </w:r>
          </w:p>
          <w:p w14:paraId="73F0DFDE" w14:textId="77777777" w:rsidR="00820F2B" w:rsidRDefault="00820F2B" w:rsidP="00FC4316">
            <w:pPr>
              <w:pStyle w:val="Textebrut"/>
              <w:jc w:val="both"/>
            </w:pPr>
            <w:r>
              <w:t>Au sujet du dossier d'appel d'offre pour la fourniture, livraison et installation de matériels électriques au profit de L'ABERME, de L'ANM, et de CONTRELEC.</w:t>
            </w:r>
          </w:p>
          <w:p w14:paraId="5451D6B3" w14:textId="489A6E05" w:rsidR="004B211A" w:rsidRPr="00820F2B" w:rsidRDefault="00820F2B" w:rsidP="00FC4316">
            <w:pPr>
              <w:pStyle w:val="Textebrut"/>
              <w:jc w:val="both"/>
              <w:rPr>
                <w:b/>
                <w:bCs/>
              </w:rPr>
            </w:pPr>
            <w:r w:rsidRPr="00820F2B">
              <w:rPr>
                <w:b/>
                <w:bCs/>
              </w:rPr>
              <w:t>Nous souhaiterons soumissionner à cette offre mais le dossier d'appel d'offre ne fournit pas les informations sur la quantité des équipements à fournir par lot.</w:t>
            </w:r>
          </w:p>
        </w:tc>
        <w:tc>
          <w:tcPr>
            <w:tcW w:w="6237" w:type="dxa"/>
            <w:hideMark/>
          </w:tcPr>
          <w:p w14:paraId="0CC2E1C0" w14:textId="77777777" w:rsidR="004B211A" w:rsidRPr="001951C2" w:rsidRDefault="001951C2" w:rsidP="00FC4316">
            <w:pPr>
              <w:spacing w:before="60" w:after="60"/>
              <w:jc w:val="both"/>
              <w:rPr>
                <w:lang w:val="fr-BE"/>
              </w:rPr>
            </w:pPr>
            <w:r w:rsidRPr="001951C2">
              <w:rPr>
                <w:lang w:val="fr-BE"/>
              </w:rPr>
              <w:t>Vous avez souhaité connaitre les quantités à fournir pour chaque matériel de chaque lot.</w:t>
            </w:r>
          </w:p>
          <w:p w14:paraId="62A68504" w14:textId="549CB357" w:rsidR="001951C2" w:rsidRPr="001951C2" w:rsidRDefault="001951C2" w:rsidP="00FC4316">
            <w:pPr>
              <w:spacing w:before="60" w:after="60"/>
              <w:jc w:val="both"/>
              <w:rPr>
                <w:b/>
                <w:bCs/>
                <w:lang w:val="fr-BE"/>
              </w:rPr>
            </w:pPr>
            <w:r w:rsidRPr="001951C2">
              <w:rPr>
                <w:b/>
                <w:bCs/>
                <w:lang w:val="fr-BE"/>
              </w:rPr>
              <w:t>Il s’agit d’une unité</w:t>
            </w:r>
            <w:r w:rsidR="005C302F">
              <w:rPr>
                <w:b/>
                <w:bCs/>
                <w:lang w:val="fr-BE"/>
              </w:rPr>
              <w:t xml:space="preserve"> (</w:t>
            </w:r>
            <w:r w:rsidR="00B66C72">
              <w:rPr>
                <w:b/>
                <w:bCs/>
                <w:lang w:val="fr-BE"/>
              </w:rPr>
              <w:t>1)</w:t>
            </w:r>
            <w:r w:rsidRPr="001951C2">
              <w:rPr>
                <w:b/>
                <w:bCs/>
                <w:lang w:val="fr-BE"/>
              </w:rPr>
              <w:t xml:space="preserve"> de matériel par lot.</w:t>
            </w:r>
          </w:p>
        </w:tc>
      </w:tr>
      <w:tr w:rsidR="004B211A" w:rsidRPr="000E4425" w14:paraId="43367BB8" w14:textId="77777777" w:rsidTr="00184E55">
        <w:trPr>
          <w:trHeight w:val="628"/>
        </w:trPr>
        <w:tc>
          <w:tcPr>
            <w:tcW w:w="8648" w:type="dxa"/>
            <w:hideMark/>
          </w:tcPr>
          <w:p w14:paraId="2AF2D315" w14:textId="77777777" w:rsidR="004B211A" w:rsidRDefault="00A521E6" w:rsidP="00FC4316">
            <w:pPr>
              <w:spacing w:before="60" w:after="60"/>
              <w:jc w:val="both"/>
              <w:rPr>
                <w:lang w:val="fr-BE"/>
              </w:rPr>
            </w:pPr>
            <w:r w:rsidRPr="00184E55">
              <w:rPr>
                <w:b/>
                <w:u w:val="single"/>
                <w:lang w:val="fr-BE"/>
              </w:rPr>
              <w:t>Question 2</w:t>
            </w:r>
            <w:r w:rsidR="004B211A" w:rsidRPr="00184E55">
              <w:rPr>
                <w:b/>
                <w:u w:val="single"/>
                <w:lang w:val="fr-BE"/>
              </w:rPr>
              <w:t>:</w:t>
            </w:r>
            <w:r w:rsidR="004B211A">
              <w:rPr>
                <w:lang w:val="fr-BE"/>
              </w:rPr>
              <w:t xml:space="preserve"> </w:t>
            </w:r>
          </w:p>
          <w:p w14:paraId="0F04B706" w14:textId="460CF6BD" w:rsidR="00035393" w:rsidRPr="004B211A" w:rsidRDefault="00035393" w:rsidP="00FC4316">
            <w:pPr>
              <w:spacing w:before="60" w:after="60"/>
              <w:jc w:val="both"/>
              <w:rPr>
                <w:b/>
                <w:bCs/>
                <w:lang w:val="fr-BE"/>
              </w:rPr>
            </w:pPr>
            <w:r>
              <w:rPr>
                <w:lang w:val="fr-BE"/>
              </w:rPr>
              <w:t xml:space="preserve">Nous vous saurons gré de nous donner les détails </w:t>
            </w:r>
            <w:r w:rsidR="00CD24EA">
              <w:rPr>
                <w:lang w:val="fr-BE"/>
              </w:rPr>
              <w:t xml:space="preserve">par rapport à la quantité de </w:t>
            </w:r>
            <w:r>
              <w:rPr>
                <w:lang w:val="fr-BE"/>
              </w:rPr>
              <w:t>chaque type d’équipement</w:t>
            </w:r>
          </w:p>
        </w:tc>
        <w:tc>
          <w:tcPr>
            <w:tcW w:w="6237" w:type="dxa"/>
            <w:hideMark/>
          </w:tcPr>
          <w:p w14:paraId="4D15C54F" w14:textId="77777777" w:rsidR="004753F5" w:rsidRPr="001951C2" w:rsidRDefault="004753F5" w:rsidP="004753F5">
            <w:pPr>
              <w:spacing w:before="60" w:after="60"/>
              <w:jc w:val="both"/>
              <w:rPr>
                <w:lang w:val="fr-BE"/>
              </w:rPr>
            </w:pPr>
            <w:r w:rsidRPr="001951C2">
              <w:rPr>
                <w:lang w:val="fr-BE"/>
              </w:rPr>
              <w:t>Vous avez souhaité connaitre les quantités à fournir pour chaque matériel de chaque lot.</w:t>
            </w:r>
          </w:p>
          <w:p w14:paraId="42EE18B4" w14:textId="6196AED8" w:rsidR="004B211A" w:rsidRPr="004B211A" w:rsidRDefault="004753F5" w:rsidP="00FC4316">
            <w:pPr>
              <w:spacing w:before="60" w:after="60"/>
              <w:jc w:val="both"/>
              <w:rPr>
                <w:lang w:val="fr-BE"/>
              </w:rPr>
            </w:pPr>
            <w:r w:rsidRPr="001951C2">
              <w:rPr>
                <w:b/>
                <w:bCs/>
                <w:lang w:val="fr-BE"/>
              </w:rPr>
              <w:t>Il s’agit d’une unité</w:t>
            </w:r>
            <w:r>
              <w:rPr>
                <w:b/>
                <w:bCs/>
                <w:lang w:val="fr-BE"/>
              </w:rPr>
              <w:t xml:space="preserve"> (1)</w:t>
            </w:r>
            <w:r w:rsidRPr="001951C2">
              <w:rPr>
                <w:b/>
                <w:bCs/>
                <w:lang w:val="fr-BE"/>
              </w:rPr>
              <w:t xml:space="preserve"> de matériel par lot.</w:t>
            </w:r>
          </w:p>
        </w:tc>
      </w:tr>
      <w:tr w:rsidR="004B211A" w:rsidRPr="000E4425" w14:paraId="22B2917C" w14:textId="77777777" w:rsidTr="00FC4316">
        <w:trPr>
          <w:trHeight w:val="2239"/>
        </w:trPr>
        <w:tc>
          <w:tcPr>
            <w:tcW w:w="8648" w:type="dxa"/>
            <w:hideMark/>
          </w:tcPr>
          <w:p w14:paraId="1C3522E1" w14:textId="77777777" w:rsidR="00262303" w:rsidRPr="00184E55" w:rsidRDefault="00A521E6" w:rsidP="00FC4316">
            <w:pPr>
              <w:spacing w:before="60" w:after="60"/>
              <w:jc w:val="both"/>
              <w:rPr>
                <w:b/>
                <w:u w:val="single"/>
                <w:lang w:val="fr-BE"/>
              </w:rPr>
            </w:pPr>
            <w:r w:rsidRPr="00184E55">
              <w:rPr>
                <w:b/>
                <w:u w:val="single"/>
                <w:lang w:val="fr-BE"/>
              </w:rPr>
              <w:t xml:space="preserve">Question 3: </w:t>
            </w:r>
          </w:p>
          <w:p w14:paraId="3D87CDD5" w14:textId="63A1EBBD" w:rsidR="004B211A" w:rsidRPr="004B211A" w:rsidRDefault="00820F2B" w:rsidP="00FC4316">
            <w:pPr>
              <w:jc w:val="both"/>
              <w:rPr>
                <w:lang w:val="fr-BE"/>
              </w:rPr>
            </w:pPr>
            <w:r w:rsidRPr="00820F2B">
              <w:rPr>
                <w:rFonts w:eastAsia="Times New Roman"/>
                <w:u w:val="single"/>
                <w:lang w:val="fr-FR"/>
              </w:rPr>
              <w:t>Conditions de Participation</w:t>
            </w:r>
            <w:r w:rsidRPr="00820F2B">
              <w:rPr>
                <w:rFonts w:eastAsia="Times New Roman"/>
                <w:lang w:val="fr-FR"/>
              </w:rPr>
              <w:t xml:space="preserve"> (Avis de Marché de Fournitures, page 2, article 11) : La garantie de soumission est placée </w:t>
            </w:r>
            <w:r w:rsidR="00C1426B" w:rsidRPr="00820F2B">
              <w:rPr>
                <w:rFonts w:eastAsia="Times New Roman"/>
                <w:lang w:val="fr-FR"/>
              </w:rPr>
              <w:t>à</w:t>
            </w:r>
            <w:r w:rsidRPr="00820F2B">
              <w:rPr>
                <w:rFonts w:eastAsia="Times New Roman"/>
                <w:lang w:val="fr-FR"/>
              </w:rPr>
              <w:t xml:space="preserve"> 1% du montant total de l’offre. Ceci peut causer des complications, quand nous devrons contacter une institution financière pour la garantie avec assez de temps pour compléter la procédure avant la date limite, mais potentiellement avant d’avoir finaliser le montant de l’offre finale. </w:t>
            </w:r>
            <w:r w:rsidR="00B66C72" w:rsidRPr="00820F2B">
              <w:rPr>
                <w:rFonts w:eastAsia="Times New Roman"/>
                <w:b/>
                <w:bCs/>
                <w:lang w:val="fr-FR"/>
              </w:rPr>
              <w:t>Serait-il</w:t>
            </w:r>
            <w:r w:rsidRPr="00820F2B">
              <w:rPr>
                <w:rFonts w:eastAsia="Times New Roman"/>
                <w:b/>
                <w:bCs/>
                <w:lang w:val="fr-FR"/>
              </w:rPr>
              <w:t xml:space="preserve"> possible de définir une garantie de soumission á montant fixe pour chaque lot?</w:t>
            </w:r>
          </w:p>
        </w:tc>
        <w:tc>
          <w:tcPr>
            <w:tcW w:w="6237" w:type="dxa"/>
            <w:hideMark/>
          </w:tcPr>
          <w:p w14:paraId="09747341" w14:textId="31BD313A" w:rsidR="004B211A" w:rsidRDefault="001951C2" w:rsidP="00FC4316">
            <w:pPr>
              <w:spacing w:before="60" w:after="60"/>
              <w:jc w:val="both"/>
              <w:rPr>
                <w:rFonts w:eastAsia="Times New Roman"/>
                <w:lang w:val="fr-FR"/>
              </w:rPr>
            </w:pPr>
            <w:r>
              <w:rPr>
                <w:lang w:val="fr-BE"/>
              </w:rPr>
              <w:t>Vou</w:t>
            </w:r>
            <w:r w:rsidR="00CD24EA">
              <w:rPr>
                <w:lang w:val="fr-BE"/>
              </w:rPr>
              <w:t>s avez souhaité savoir s’il est</w:t>
            </w:r>
            <w:r w:rsidRPr="001951C2">
              <w:rPr>
                <w:rFonts w:eastAsia="Times New Roman"/>
                <w:lang w:val="fr-FR"/>
              </w:rPr>
              <w:t xml:space="preserve"> possible de définir une garantie de soumission á montant fixe pour chaque lot</w:t>
            </w:r>
            <w:r>
              <w:rPr>
                <w:rFonts w:eastAsia="Times New Roman"/>
                <w:lang w:val="fr-FR"/>
              </w:rPr>
              <w:t>.</w:t>
            </w:r>
          </w:p>
          <w:p w14:paraId="1DF031C8" w14:textId="45E5F3F8" w:rsidR="001951C2" w:rsidRPr="001951C2" w:rsidRDefault="001951C2" w:rsidP="00FC4316">
            <w:pPr>
              <w:spacing w:before="60" w:after="60"/>
              <w:jc w:val="both"/>
              <w:rPr>
                <w:b/>
                <w:bCs/>
                <w:lang w:val="fr-BE"/>
              </w:rPr>
            </w:pPr>
            <w:r w:rsidRPr="001951C2">
              <w:rPr>
                <w:rFonts w:eastAsia="Times New Roman"/>
                <w:b/>
                <w:bCs/>
                <w:lang w:val="fr-FR"/>
              </w:rPr>
              <w:t>Non, il n’est pas possible de définir une garantie de soumission á montant fixe pour chaque lot</w:t>
            </w:r>
            <w:r w:rsidR="00181A30">
              <w:rPr>
                <w:rFonts w:eastAsia="Times New Roman"/>
                <w:b/>
                <w:bCs/>
                <w:lang w:val="fr-FR"/>
              </w:rPr>
              <w:t>.</w:t>
            </w:r>
          </w:p>
        </w:tc>
      </w:tr>
      <w:tr w:rsidR="004B211A" w:rsidRPr="000E4425" w14:paraId="12374C62" w14:textId="77777777" w:rsidTr="00FC4316">
        <w:trPr>
          <w:trHeight w:val="70"/>
        </w:trPr>
        <w:tc>
          <w:tcPr>
            <w:tcW w:w="8648" w:type="dxa"/>
            <w:hideMark/>
          </w:tcPr>
          <w:p w14:paraId="378414FE" w14:textId="77777777" w:rsidR="00262303" w:rsidRDefault="00A521E6" w:rsidP="00FC4316">
            <w:pPr>
              <w:spacing w:before="60" w:after="60"/>
              <w:jc w:val="both"/>
              <w:rPr>
                <w:lang w:val="fr-BE"/>
              </w:rPr>
            </w:pPr>
            <w:r w:rsidRPr="00184E55">
              <w:rPr>
                <w:b/>
                <w:u w:val="single"/>
                <w:lang w:val="fr-BE"/>
              </w:rPr>
              <w:t>Question 4</w:t>
            </w:r>
            <w:r>
              <w:rPr>
                <w:lang w:val="fr-BE"/>
              </w:rPr>
              <w:t xml:space="preserve">: </w:t>
            </w:r>
          </w:p>
          <w:p w14:paraId="61263108" w14:textId="55DDAA4B" w:rsidR="004B211A" w:rsidRPr="004B211A" w:rsidRDefault="00820F2B" w:rsidP="00FC4316">
            <w:pPr>
              <w:jc w:val="both"/>
              <w:rPr>
                <w:lang w:val="fr-BE"/>
              </w:rPr>
            </w:pPr>
            <w:r w:rsidRPr="00820F2B">
              <w:rPr>
                <w:rFonts w:eastAsia="Times New Roman"/>
                <w:u w:val="single"/>
                <w:lang w:val="fr-FR"/>
              </w:rPr>
              <w:t>Critères de Sélection et d’Attribution</w:t>
            </w:r>
            <w:r w:rsidRPr="00820F2B">
              <w:rPr>
                <w:rFonts w:eastAsia="Times New Roman"/>
                <w:lang w:val="fr-FR"/>
              </w:rPr>
              <w:t xml:space="preserve"> (Avis de Marché de Fournitures, page 3, article 16, point 3) : il est mentionné le besoin d’expérience dans « … </w:t>
            </w:r>
            <w:r w:rsidRPr="00820F2B">
              <w:rPr>
                <w:rFonts w:eastAsia="Times New Roman"/>
                <w:i/>
                <w:iCs/>
                <w:lang w:val="fr-FR"/>
              </w:rPr>
              <w:t>les domaines de la vente ou location de matériels électriques, électroniques ou électrotechniques</w:t>
            </w:r>
            <w:r w:rsidRPr="00820F2B">
              <w:rPr>
                <w:rFonts w:eastAsia="Times New Roman"/>
                <w:lang w:val="fr-FR"/>
              </w:rPr>
              <w:t xml:space="preserve"> </w:t>
            </w:r>
            <w:r w:rsidRPr="001951C2">
              <w:rPr>
                <w:rFonts w:eastAsia="Times New Roman"/>
                <w:b/>
                <w:bCs/>
                <w:i/>
                <w:iCs/>
                <w:u w:val="single"/>
                <w:lang w:val="fr-FR"/>
              </w:rPr>
              <w:t>roulants</w:t>
            </w:r>
            <w:r w:rsidRPr="00820F2B">
              <w:rPr>
                <w:rFonts w:eastAsia="Times New Roman"/>
                <w:lang w:val="fr-FR"/>
              </w:rPr>
              <w:t xml:space="preserve">… ». </w:t>
            </w:r>
            <w:r w:rsidRPr="00820F2B">
              <w:rPr>
                <w:rFonts w:eastAsia="Times New Roman"/>
                <w:b/>
                <w:bCs/>
                <w:lang w:val="fr-FR"/>
              </w:rPr>
              <w:t xml:space="preserve">Merci de confirmer que l’inclusion du mot </w:t>
            </w:r>
            <w:r w:rsidRPr="00820F2B">
              <w:rPr>
                <w:rFonts w:eastAsia="Times New Roman"/>
                <w:b/>
                <w:bCs/>
                <w:i/>
                <w:iCs/>
                <w:lang w:val="fr-FR"/>
              </w:rPr>
              <w:t>roulants</w:t>
            </w:r>
            <w:r w:rsidRPr="00820F2B">
              <w:rPr>
                <w:rFonts w:eastAsia="Times New Roman"/>
                <w:b/>
                <w:bCs/>
                <w:lang w:val="fr-FR"/>
              </w:rPr>
              <w:t xml:space="preserve"> est une erreur, et qu’il s’agit bien de « </w:t>
            </w:r>
            <w:r w:rsidRPr="00820F2B">
              <w:rPr>
                <w:rFonts w:eastAsia="Times New Roman"/>
                <w:b/>
                <w:bCs/>
                <w:i/>
                <w:iCs/>
                <w:lang w:val="fr-FR"/>
              </w:rPr>
              <w:t>matériels électriques, électroniques ou électrotechniques </w:t>
            </w:r>
            <w:r w:rsidRPr="00820F2B">
              <w:rPr>
                <w:rFonts w:eastAsia="Times New Roman"/>
                <w:b/>
                <w:bCs/>
                <w:lang w:val="fr-FR"/>
              </w:rPr>
              <w:t>».</w:t>
            </w:r>
          </w:p>
        </w:tc>
        <w:tc>
          <w:tcPr>
            <w:tcW w:w="6237" w:type="dxa"/>
            <w:hideMark/>
          </w:tcPr>
          <w:p w14:paraId="638DE1F8" w14:textId="77777777" w:rsidR="004B211A" w:rsidRDefault="001951C2" w:rsidP="00FC4316">
            <w:pPr>
              <w:spacing w:before="60" w:after="60"/>
              <w:jc w:val="both"/>
              <w:rPr>
                <w:rFonts w:eastAsia="Times New Roman"/>
                <w:lang w:val="fr-FR"/>
              </w:rPr>
            </w:pPr>
            <w:r>
              <w:rPr>
                <w:lang w:val="fr-BE"/>
              </w:rPr>
              <w:t xml:space="preserve">Vous avez souhaité confirmer qu’il </w:t>
            </w:r>
            <w:r w:rsidRPr="001951C2">
              <w:rPr>
                <w:rFonts w:eastAsia="Times New Roman"/>
                <w:lang w:val="fr-FR"/>
              </w:rPr>
              <w:t>s’agit bien de « </w:t>
            </w:r>
            <w:r w:rsidRPr="001951C2">
              <w:rPr>
                <w:rFonts w:eastAsia="Times New Roman"/>
                <w:i/>
                <w:iCs/>
                <w:lang w:val="fr-FR"/>
              </w:rPr>
              <w:t>matériels électriques, électroniques ou électrotechniques </w:t>
            </w:r>
            <w:r w:rsidRPr="001951C2">
              <w:rPr>
                <w:rFonts w:eastAsia="Times New Roman"/>
                <w:lang w:val="fr-FR"/>
              </w:rPr>
              <w:t>».</w:t>
            </w:r>
          </w:p>
          <w:p w14:paraId="1133FB2B" w14:textId="3B32D1FE" w:rsidR="001951C2" w:rsidRPr="004B211A" w:rsidRDefault="001951C2" w:rsidP="00FC4316">
            <w:pPr>
              <w:spacing w:before="60" w:after="60"/>
              <w:jc w:val="both"/>
              <w:rPr>
                <w:lang w:val="fr-BE"/>
              </w:rPr>
            </w:pPr>
            <w:r w:rsidRPr="001951C2">
              <w:rPr>
                <w:b/>
                <w:bCs/>
                <w:lang w:val="fr-BE"/>
              </w:rPr>
              <w:t>OUI,</w:t>
            </w:r>
            <w:r w:rsidR="00B66C72">
              <w:rPr>
                <w:b/>
                <w:bCs/>
                <w:lang w:val="fr-BE"/>
              </w:rPr>
              <w:t xml:space="preserve"> il</w:t>
            </w:r>
            <w:r>
              <w:rPr>
                <w:lang w:val="fr-BE"/>
              </w:rPr>
              <w:t xml:space="preserve"> </w:t>
            </w:r>
            <w:r w:rsidRPr="00820F2B">
              <w:rPr>
                <w:rFonts w:eastAsia="Times New Roman"/>
                <w:b/>
                <w:bCs/>
                <w:lang w:val="fr-FR"/>
              </w:rPr>
              <w:t>s’agit bien de « </w:t>
            </w:r>
            <w:r w:rsidRPr="00820F2B">
              <w:rPr>
                <w:rFonts w:eastAsia="Times New Roman"/>
                <w:b/>
                <w:bCs/>
                <w:i/>
                <w:iCs/>
                <w:lang w:val="fr-FR"/>
              </w:rPr>
              <w:t>matériels électriques, électroniques ou électrotechniques </w:t>
            </w:r>
            <w:r w:rsidRPr="00820F2B">
              <w:rPr>
                <w:rFonts w:eastAsia="Times New Roman"/>
                <w:b/>
                <w:bCs/>
                <w:lang w:val="fr-FR"/>
              </w:rPr>
              <w:t>».</w:t>
            </w:r>
          </w:p>
        </w:tc>
      </w:tr>
      <w:tr w:rsidR="004B211A" w:rsidRPr="000E4425" w14:paraId="19BD1492" w14:textId="77777777" w:rsidTr="00820F2B">
        <w:trPr>
          <w:trHeight w:val="1577"/>
        </w:trPr>
        <w:tc>
          <w:tcPr>
            <w:tcW w:w="8648" w:type="dxa"/>
            <w:hideMark/>
          </w:tcPr>
          <w:p w14:paraId="6E7A0212" w14:textId="77777777" w:rsidR="00262303" w:rsidRPr="00184E55" w:rsidRDefault="00A521E6" w:rsidP="00FC4316">
            <w:pPr>
              <w:spacing w:before="60" w:after="60"/>
              <w:jc w:val="both"/>
              <w:rPr>
                <w:b/>
                <w:u w:val="single"/>
                <w:lang w:val="fr-BE"/>
              </w:rPr>
            </w:pPr>
            <w:r w:rsidRPr="00184E55">
              <w:rPr>
                <w:b/>
                <w:u w:val="single"/>
                <w:lang w:val="fr-BE"/>
              </w:rPr>
              <w:t xml:space="preserve">Question 5: </w:t>
            </w:r>
          </w:p>
          <w:p w14:paraId="59AE6EC3" w14:textId="01B6DD0A" w:rsidR="004B211A" w:rsidRPr="007C6BA7" w:rsidRDefault="00820F2B" w:rsidP="00FC4316">
            <w:pPr>
              <w:jc w:val="both"/>
              <w:rPr>
                <w:rFonts w:eastAsia="Times New Roman"/>
                <w:lang w:val="fr-FR"/>
              </w:rPr>
            </w:pPr>
            <w:r w:rsidRPr="007C6BA7">
              <w:rPr>
                <w:rFonts w:eastAsia="Times New Roman"/>
                <w:u w:val="single"/>
                <w:lang w:val="fr-FR"/>
              </w:rPr>
              <w:t>Lettre d’invitation à soumissionner</w:t>
            </w:r>
            <w:r w:rsidRPr="007C6BA7">
              <w:rPr>
                <w:rFonts w:eastAsia="Times New Roman"/>
                <w:lang w:val="fr-FR"/>
              </w:rPr>
              <w:t xml:space="preserve"> : L’Objet de la lettre mentionne la fourniture et livraison de véhicules, et non de matériels électriques. </w:t>
            </w:r>
            <w:r w:rsidRPr="007C6BA7">
              <w:rPr>
                <w:rFonts w:eastAsia="Times New Roman"/>
                <w:b/>
                <w:bCs/>
                <w:lang w:val="fr-FR"/>
              </w:rPr>
              <w:t>Merci de confirmer que ceci est une erreur, et que l’objet du marché est effectivement « la Fourniture, Livraison et Installation de matériels électriques ».</w:t>
            </w:r>
          </w:p>
        </w:tc>
        <w:tc>
          <w:tcPr>
            <w:tcW w:w="6237" w:type="dxa"/>
          </w:tcPr>
          <w:p w14:paraId="08B6F69B" w14:textId="77777777" w:rsidR="004B211A" w:rsidRDefault="001951C2" w:rsidP="00FC4316">
            <w:pPr>
              <w:spacing w:before="60" w:after="60"/>
              <w:jc w:val="both"/>
              <w:rPr>
                <w:rFonts w:eastAsia="Times New Roman"/>
                <w:lang w:val="fr-FR"/>
              </w:rPr>
            </w:pPr>
            <w:r>
              <w:rPr>
                <w:lang w:val="fr-BE"/>
              </w:rPr>
              <w:t>Vous avez souhaité conf</w:t>
            </w:r>
            <w:r w:rsidRPr="001951C2">
              <w:rPr>
                <w:lang w:val="fr-BE"/>
              </w:rPr>
              <w:t xml:space="preserve">irmer </w:t>
            </w:r>
            <w:r w:rsidRPr="001951C2">
              <w:rPr>
                <w:rFonts w:eastAsia="Times New Roman"/>
                <w:lang w:val="fr-FR"/>
              </w:rPr>
              <w:t>que l’objet du marché est effectivement « la Fourniture, Livraison et Installation de matériels électriques ».</w:t>
            </w:r>
          </w:p>
          <w:p w14:paraId="7F451ED7" w14:textId="17B7556E" w:rsidR="00D0466C" w:rsidRPr="004B211A" w:rsidRDefault="00D0466C" w:rsidP="00FC4316">
            <w:pPr>
              <w:spacing w:before="60" w:after="60"/>
              <w:jc w:val="both"/>
              <w:rPr>
                <w:lang w:val="fr-BE"/>
              </w:rPr>
            </w:pPr>
            <w:r w:rsidRPr="00D0466C">
              <w:rPr>
                <w:rFonts w:eastAsia="Times New Roman"/>
                <w:b/>
                <w:bCs/>
                <w:lang w:val="fr-FR"/>
              </w:rPr>
              <w:t>OUI,</w:t>
            </w:r>
            <w:r>
              <w:rPr>
                <w:rFonts w:eastAsia="Times New Roman"/>
                <w:lang w:val="fr-FR"/>
              </w:rPr>
              <w:t xml:space="preserve"> </w:t>
            </w:r>
            <w:r w:rsidRPr="007C6BA7">
              <w:rPr>
                <w:rFonts w:eastAsia="Times New Roman"/>
                <w:b/>
                <w:bCs/>
                <w:lang w:val="fr-FR"/>
              </w:rPr>
              <w:t>l’objet du marché est effectivement « la Fourniture, Livraison et Installation de matériels électriques ».</w:t>
            </w:r>
          </w:p>
        </w:tc>
      </w:tr>
      <w:tr w:rsidR="004B211A" w:rsidRPr="000E4425" w14:paraId="7F17E5AB" w14:textId="77777777" w:rsidTr="00FC4316">
        <w:trPr>
          <w:trHeight w:val="2110"/>
        </w:trPr>
        <w:tc>
          <w:tcPr>
            <w:tcW w:w="8648" w:type="dxa"/>
            <w:hideMark/>
          </w:tcPr>
          <w:p w14:paraId="05CADF43" w14:textId="6F550AAA" w:rsidR="00262303" w:rsidRPr="00184E55" w:rsidRDefault="00A521E6" w:rsidP="00FC4316">
            <w:pPr>
              <w:spacing w:before="60" w:after="60"/>
              <w:jc w:val="both"/>
              <w:rPr>
                <w:b/>
                <w:u w:val="single"/>
                <w:lang w:val="fr-BE"/>
              </w:rPr>
            </w:pPr>
            <w:r w:rsidRPr="00184E55">
              <w:rPr>
                <w:b/>
                <w:u w:val="single"/>
                <w:lang w:val="fr-BE"/>
              </w:rPr>
              <w:lastRenderedPageBreak/>
              <w:t>Question 6</w:t>
            </w:r>
            <w:r w:rsidR="00D0466C">
              <w:rPr>
                <w:b/>
                <w:u w:val="single"/>
                <w:lang w:val="fr-BE"/>
              </w:rPr>
              <w:t xml:space="preserve"> </w:t>
            </w:r>
            <w:r w:rsidRPr="00184E55">
              <w:rPr>
                <w:b/>
                <w:u w:val="single"/>
                <w:lang w:val="fr-BE"/>
              </w:rPr>
              <w:t xml:space="preserve">: </w:t>
            </w:r>
          </w:p>
          <w:p w14:paraId="52E3C5FC" w14:textId="79A8C696" w:rsidR="004B211A" w:rsidRPr="00FC4316" w:rsidRDefault="007C6BA7" w:rsidP="00FC4316">
            <w:pPr>
              <w:jc w:val="both"/>
              <w:rPr>
                <w:lang w:val="fr-BE"/>
              </w:rPr>
            </w:pPr>
            <w:r w:rsidRPr="007C6BA7">
              <w:rPr>
                <w:rFonts w:eastAsia="Times New Roman"/>
                <w:u w:val="single"/>
                <w:lang w:val="fr-FR"/>
              </w:rPr>
              <w:t>Spécifications du Marché</w:t>
            </w:r>
            <w:r w:rsidRPr="007C6BA7">
              <w:rPr>
                <w:rFonts w:eastAsia="Times New Roman"/>
                <w:lang w:val="fr-FR"/>
              </w:rPr>
              <w:t xml:space="preserve"> (Avis de Marché de Fournitures, page 1, article 6) : La description du marché contient la mention de l’installation du matériel, mais nous n’avons pas trouvé de spécifications concernant l’installation d’équipements, la localisation ou le nombre de sites où les installations </w:t>
            </w:r>
            <w:r w:rsidR="009E3920" w:rsidRPr="007C6BA7">
              <w:rPr>
                <w:rFonts w:eastAsia="Times New Roman"/>
                <w:lang w:val="fr-FR"/>
              </w:rPr>
              <w:t>devraient</w:t>
            </w:r>
            <w:r w:rsidRPr="007C6BA7">
              <w:rPr>
                <w:rFonts w:eastAsia="Times New Roman"/>
                <w:lang w:val="fr-FR"/>
              </w:rPr>
              <w:t xml:space="preserve"> prendre place. </w:t>
            </w:r>
            <w:r w:rsidRPr="007C6BA7">
              <w:rPr>
                <w:rFonts w:eastAsia="Times New Roman"/>
                <w:b/>
                <w:bCs/>
                <w:lang w:val="fr-FR"/>
              </w:rPr>
              <w:t>Merci de confirmer si le marché demande l’installation des matériels, et le cas échéant, merci de fournir les spécifications nécessaires pour les installations.</w:t>
            </w:r>
          </w:p>
        </w:tc>
        <w:tc>
          <w:tcPr>
            <w:tcW w:w="6237" w:type="dxa"/>
            <w:hideMark/>
          </w:tcPr>
          <w:p w14:paraId="14CAE032" w14:textId="77777777" w:rsidR="00F25AE1" w:rsidRPr="00FC4316" w:rsidRDefault="00F25AE1" w:rsidP="00F25AE1">
            <w:pPr>
              <w:spacing w:before="60" w:after="60"/>
              <w:jc w:val="both"/>
              <w:rPr>
                <w:rFonts w:eastAsia="Times New Roman"/>
                <w:lang w:val="fr-FR"/>
              </w:rPr>
            </w:pPr>
            <w:r w:rsidRPr="00FC4316">
              <w:rPr>
                <w:lang w:val="fr-BE"/>
              </w:rPr>
              <w:t xml:space="preserve">Vous avez souhaité confirmer que </w:t>
            </w:r>
            <w:r w:rsidRPr="00FC4316">
              <w:rPr>
                <w:rFonts w:eastAsia="Times New Roman"/>
                <w:lang w:val="fr-FR"/>
              </w:rPr>
              <w:t>le marché demande l’installation des matériels, et le cas échéant, connaître les spécifications nécessaires pour les installations.</w:t>
            </w:r>
          </w:p>
          <w:p w14:paraId="46079CF4" w14:textId="77777777" w:rsidR="00F25AE1" w:rsidRDefault="00F25AE1" w:rsidP="00F25AE1">
            <w:pPr>
              <w:spacing w:before="60" w:after="60"/>
              <w:jc w:val="both"/>
              <w:rPr>
                <w:lang w:val="fr-BE"/>
              </w:rPr>
            </w:pPr>
            <w:r w:rsidRPr="00FC4316">
              <w:rPr>
                <w:lang w:val="fr-BE"/>
              </w:rPr>
              <w:t>Merci de comprendre par le mot « installation », la pose des équipements non portatifs dans l’espace aménagé à cet effet.</w:t>
            </w:r>
          </w:p>
          <w:p w14:paraId="39EAC86E" w14:textId="1EE6FC7A" w:rsidR="00BB5F84" w:rsidRPr="004B211A" w:rsidRDefault="00BB5F84" w:rsidP="00FC4316">
            <w:pPr>
              <w:spacing w:before="60" w:after="60"/>
              <w:jc w:val="both"/>
              <w:rPr>
                <w:lang w:val="fr-BE"/>
              </w:rPr>
            </w:pPr>
          </w:p>
        </w:tc>
      </w:tr>
      <w:tr w:rsidR="004B211A" w:rsidRPr="000E4425" w14:paraId="0BD91966" w14:textId="77777777" w:rsidTr="00184E55">
        <w:trPr>
          <w:trHeight w:val="843"/>
        </w:trPr>
        <w:tc>
          <w:tcPr>
            <w:tcW w:w="8648" w:type="dxa"/>
            <w:hideMark/>
          </w:tcPr>
          <w:p w14:paraId="52D2DCC9" w14:textId="77777777" w:rsidR="00262303" w:rsidRPr="00184E55" w:rsidRDefault="00A521E6" w:rsidP="00FC4316">
            <w:pPr>
              <w:spacing w:before="60" w:after="60"/>
              <w:jc w:val="both"/>
              <w:rPr>
                <w:b/>
                <w:bCs/>
                <w:u w:val="single"/>
                <w:lang w:val="fr-BE"/>
              </w:rPr>
            </w:pPr>
            <w:r w:rsidRPr="00184E55">
              <w:rPr>
                <w:b/>
                <w:bCs/>
                <w:u w:val="single"/>
                <w:lang w:val="fr-BE"/>
              </w:rPr>
              <w:t xml:space="preserve">Question 7: </w:t>
            </w:r>
          </w:p>
          <w:p w14:paraId="7E6CFB09" w14:textId="759BABE7" w:rsidR="004B211A" w:rsidRPr="004B211A" w:rsidRDefault="007C6BA7" w:rsidP="00FC4316">
            <w:pPr>
              <w:jc w:val="both"/>
              <w:rPr>
                <w:b/>
                <w:bCs/>
                <w:lang w:val="fr-BE"/>
              </w:rPr>
            </w:pPr>
            <w:r w:rsidRPr="007C6BA7">
              <w:rPr>
                <w:rFonts w:eastAsia="Times New Roman"/>
                <w:u w:val="single"/>
                <w:lang w:val="fr-FR"/>
              </w:rPr>
              <w:t>Fournitures faisant l’objet du marché</w:t>
            </w:r>
            <w:r w:rsidRPr="007C6BA7">
              <w:rPr>
                <w:rFonts w:eastAsia="Times New Roman"/>
                <w:lang w:val="fr-FR"/>
              </w:rPr>
              <w:t> (Instructions aux Soumissionnaires, page 1, article 1.3) : Il est mentionné que « </w:t>
            </w:r>
            <w:r w:rsidRPr="007C6BA7">
              <w:rPr>
                <w:rFonts w:eastAsia="Times New Roman"/>
                <w:i/>
                <w:iCs/>
                <w:lang w:val="fr-FR"/>
              </w:rPr>
              <w:t>Les biens décrits aux de</w:t>
            </w:r>
            <w:r w:rsidR="009E3920">
              <w:rPr>
                <w:rFonts w:eastAsia="Times New Roman"/>
                <w:i/>
                <w:iCs/>
                <w:lang w:val="fr-FR"/>
              </w:rPr>
              <w:t>ux lots doivent être accompagné</w:t>
            </w:r>
            <w:r w:rsidRPr="007C6BA7">
              <w:rPr>
                <w:rFonts w:eastAsia="Times New Roman"/>
                <w:i/>
                <w:iCs/>
                <w:lang w:val="fr-FR"/>
              </w:rPr>
              <w:t>s d’un lot supplémentaire de pièces de rechange….</w:t>
            </w:r>
            <w:r w:rsidRPr="007C6BA7">
              <w:rPr>
                <w:rFonts w:eastAsia="Times New Roman"/>
                <w:lang w:val="fr-FR"/>
              </w:rPr>
              <w:t xml:space="preserve"> ». Le marché est cependant reparti en trois lots. </w:t>
            </w:r>
            <w:r w:rsidRPr="007C6BA7">
              <w:rPr>
                <w:rFonts w:eastAsia="Times New Roman"/>
                <w:b/>
                <w:bCs/>
                <w:lang w:val="fr-FR"/>
              </w:rPr>
              <w:t>Merci de confirmer que l’article 1.3 devrait donc lire « </w:t>
            </w:r>
            <w:r w:rsidRPr="007C6BA7">
              <w:rPr>
                <w:rFonts w:eastAsia="Times New Roman"/>
                <w:b/>
                <w:bCs/>
                <w:i/>
                <w:iCs/>
                <w:lang w:val="fr-FR"/>
              </w:rPr>
              <w:t xml:space="preserve">Les biens décrits aux </w:t>
            </w:r>
            <w:r w:rsidRPr="007C6BA7">
              <w:rPr>
                <w:rFonts w:eastAsia="Times New Roman"/>
                <w:b/>
                <w:bCs/>
                <w:i/>
                <w:iCs/>
                <w:u w:val="single"/>
                <w:lang w:val="fr-FR"/>
              </w:rPr>
              <w:t>trois</w:t>
            </w:r>
            <w:r w:rsidRPr="007C6BA7">
              <w:rPr>
                <w:rFonts w:eastAsia="Times New Roman"/>
                <w:b/>
                <w:bCs/>
                <w:i/>
                <w:iCs/>
                <w:lang w:val="fr-FR"/>
              </w:rPr>
              <w:t xml:space="preserve"> lots doivent être accompagnées d’un lot supplémentaire de pièces de rechange….</w:t>
            </w:r>
            <w:r w:rsidRPr="007C6BA7">
              <w:rPr>
                <w:rFonts w:eastAsia="Times New Roman"/>
                <w:b/>
                <w:bCs/>
                <w:lang w:val="fr-FR"/>
              </w:rPr>
              <w:t> ».</w:t>
            </w:r>
          </w:p>
        </w:tc>
        <w:tc>
          <w:tcPr>
            <w:tcW w:w="6237" w:type="dxa"/>
            <w:hideMark/>
          </w:tcPr>
          <w:p w14:paraId="408F8D73" w14:textId="6151B5A4" w:rsidR="004B211A" w:rsidRDefault="00BB5F84" w:rsidP="00FC4316">
            <w:pPr>
              <w:spacing w:before="60" w:after="60"/>
              <w:jc w:val="both"/>
              <w:rPr>
                <w:rFonts w:eastAsia="Times New Roman"/>
                <w:b/>
                <w:bCs/>
                <w:lang w:val="fr-FR"/>
              </w:rPr>
            </w:pPr>
            <w:r>
              <w:rPr>
                <w:lang w:val="fr-BE"/>
              </w:rPr>
              <w:t xml:space="preserve">Vous avez souhaité confirmer que </w:t>
            </w:r>
            <w:r w:rsidRPr="00C43018">
              <w:rPr>
                <w:rFonts w:eastAsia="Times New Roman"/>
                <w:lang w:val="fr-FR"/>
              </w:rPr>
              <w:t>l’article 1.3 devrait lire « </w:t>
            </w:r>
            <w:r w:rsidRPr="00C43018">
              <w:rPr>
                <w:rFonts w:eastAsia="Times New Roman"/>
                <w:i/>
                <w:iCs/>
                <w:lang w:val="fr-FR"/>
              </w:rPr>
              <w:t xml:space="preserve">Les biens décrits aux </w:t>
            </w:r>
            <w:r w:rsidRPr="00C43018">
              <w:rPr>
                <w:rFonts w:eastAsia="Times New Roman"/>
                <w:i/>
                <w:iCs/>
                <w:u w:val="single"/>
                <w:lang w:val="fr-FR"/>
              </w:rPr>
              <w:t>trois</w:t>
            </w:r>
            <w:r w:rsidR="009E3920">
              <w:rPr>
                <w:rFonts w:eastAsia="Times New Roman"/>
                <w:i/>
                <w:iCs/>
                <w:lang w:val="fr-FR"/>
              </w:rPr>
              <w:t xml:space="preserve"> lots doivent être accompagné</w:t>
            </w:r>
            <w:r w:rsidRPr="00C43018">
              <w:rPr>
                <w:rFonts w:eastAsia="Times New Roman"/>
                <w:i/>
                <w:iCs/>
                <w:lang w:val="fr-FR"/>
              </w:rPr>
              <w:t>s d’un lot supplémentaire de pièces de rechange….</w:t>
            </w:r>
            <w:r w:rsidRPr="00C43018">
              <w:rPr>
                <w:rFonts w:eastAsia="Times New Roman"/>
                <w:lang w:val="fr-FR"/>
              </w:rPr>
              <w:t> ».</w:t>
            </w:r>
          </w:p>
          <w:p w14:paraId="35E77750" w14:textId="2452AAED" w:rsidR="00BB5F84" w:rsidRPr="004B211A" w:rsidRDefault="00BB5F84" w:rsidP="009E3920">
            <w:pPr>
              <w:spacing w:before="60" w:after="60"/>
              <w:jc w:val="both"/>
              <w:rPr>
                <w:lang w:val="fr-BE"/>
              </w:rPr>
            </w:pPr>
            <w:r>
              <w:rPr>
                <w:rFonts w:eastAsia="Times New Roman"/>
                <w:b/>
                <w:bCs/>
                <w:lang w:val="fr-FR"/>
              </w:rPr>
              <w:t>Veuillez lire plutôt « </w:t>
            </w:r>
            <w:r w:rsidRPr="007C6BA7">
              <w:rPr>
                <w:rFonts w:eastAsia="Times New Roman"/>
                <w:b/>
                <w:bCs/>
                <w:i/>
                <w:iCs/>
                <w:lang w:val="fr-FR"/>
              </w:rPr>
              <w:t xml:space="preserve">Les biens décrits aux </w:t>
            </w:r>
            <w:r w:rsidRPr="007C6BA7">
              <w:rPr>
                <w:rFonts w:eastAsia="Times New Roman"/>
                <w:b/>
                <w:bCs/>
                <w:i/>
                <w:iCs/>
                <w:u w:val="single"/>
                <w:lang w:val="fr-FR"/>
              </w:rPr>
              <w:t>trois</w:t>
            </w:r>
            <w:r w:rsidRPr="007C6BA7">
              <w:rPr>
                <w:rFonts w:eastAsia="Times New Roman"/>
                <w:b/>
                <w:bCs/>
                <w:i/>
                <w:iCs/>
                <w:lang w:val="fr-FR"/>
              </w:rPr>
              <w:t xml:space="preserve"> lots doivent être accompagnés</w:t>
            </w:r>
            <w:r>
              <w:rPr>
                <w:rFonts w:eastAsia="Times New Roman"/>
                <w:b/>
                <w:bCs/>
                <w:i/>
                <w:iCs/>
                <w:lang w:val="fr-FR"/>
              </w:rPr>
              <w:t xml:space="preserve"> </w:t>
            </w:r>
            <w:r w:rsidRPr="00C43018">
              <w:rPr>
                <w:rFonts w:eastAsia="Times New Roman"/>
                <w:b/>
                <w:bCs/>
                <w:i/>
                <w:iCs/>
                <w:u w:val="single"/>
                <w:lang w:val="fr-FR"/>
              </w:rPr>
              <w:t>pour chaque lot, d’un ensemble</w:t>
            </w:r>
            <w:r w:rsidR="00C43018">
              <w:rPr>
                <w:rFonts w:eastAsia="Times New Roman"/>
                <w:b/>
                <w:bCs/>
                <w:i/>
                <w:iCs/>
                <w:lang w:val="fr-FR"/>
              </w:rPr>
              <w:t xml:space="preserve"> </w:t>
            </w:r>
            <w:r w:rsidRPr="007C6BA7">
              <w:rPr>
                <w:rFonts w:eastAsia="Times New Roman"/>
                <w:b/>
                <w:bCs/>
                <w:i/>
                <w:iCs/>
                <w:lang w:val="fr-FR"/>
              </w:rPr>
              <w:t>de pièces de rechange….</w:t>
            </w:r>
            <w:r w:rsidRPr="007C6BA7">
              <w:rPr>
                <w:rFonts w:eastAsia="Times New Roman"/>
                <w:b/>
                <w:bCs/>
                <w:lang w:val="fr-FR"/>
              </w:rPr>
              <w:t> ».</w:t>
            </w:r>
          </w:p>
        </w:tc>
      </w:tr>
      <w:tr w:rsidR="004B211A" w:rsidRPr="000E4425" w14:paraId="11F3FE31" w14:textId="77777777" w:rsidTr="00FC4316">
        <w:trPr>
          <w:trHeight w:val="4554"/>
        </w:trPr>
        <w:tc>
          <w:tcPr>
            <w:tcW w:w="8648" w:type="dxa"/>
            <w:hideMark/>
          </w:tcPr>
          <w:p w14:paraId="22B00FA9" w14:textId="77777777" w:rsidR="00262303" w:rsidRDefault="004B211A" w:rsidP="00FC4316">
            <w:pPr>
              <w:spacing w:before="60" w:after="60"/>
              <w:jc w:val="both"/>
              <w:rPr>
                <w:b/>
                <w:bCs/>
                <w:lang w:val="fr-BE"/>
              </w:rPr>
            </w:pPr>
            <w:r w:rsidRPr="00184E55">
              <w:rPr>
                <w:b/>
                <w:bCs/>
                <w:u w:val="single"/>
                <w:lang w:val="fr-BE"/>
              </w:rPr>
              <w:t xml:space="preserve">Question </w:t>
            </w:r>
            <w:r w:rsidR="00A521E6" w:rsidRPr="00184E55">
              <w:rPr>
                <w:b/>
                <w:bCs/>
                <w:u w:val="single"/>
                <w:lang w:val="fr-BE"/>
              </w:rPr>
              <w:t>8</w:t>
            </w:r>
            <w:r w:rsidRPr="004B211A">
              <w:rPr>
                <w:b/>
                <w:bCs/>
                <w:lang w:val="fr-BE"/>
              </w:rPr>
              <w:t xml:space="preserve"> : </w:t>
            </w:r>
          </w:p>
          <w:p w14:paraId="51D813B4" w14:textId="6F7A9EA7" w:rsidR="007C6BA7" w:rsidRPr="007C6BA7" w:rsidRDefault="007C6BA7" w:rsidP="00FC4316">
            <w:pPr>
              <w:jc w:val="both"/>
              <w:rPr>
                <w:rFonts w:eastAsia="Times New Roman"/>
                <w:b/>
                <w:bCs/>
                <w:lang w:val="fr-FR"/>
              </w:rPr>
            </w:pPr>
            <w:r w:rsidRPr="007C6BA7">
              <w:rPr>
                <w:rFonts w:eastAsia="Times New Roman"/>
                <w:u w:val="single"/>
                <w:lang w:val="fr-FR"/>
              </w:rPr>
              <w:t>Signature du contrat et garantie de bonne exécution</w:t>
            </w:r>
            <w:r w:rsidRPr="007C6BA7">
              <w:rPr>
                <w:rFonts w:eastAsia="Times New Roman"/>
                <w:lang w:val="fr-FR"/>
              </w:rPr>
              <w:t xml:space="preserve"> (Instructions aux Soumissionnaires, page 10, article 22.4) : « </w:t>
            </w:r>
            <w:r w:rsidRPr="007C6BA7">
              <w:rPr>
                <w:rFonts w:eastAsia="Times New Roman"/>
                <w:i/>
                <w:iCs/>
                <w:lang w:val="fr-FR"/>
              </w:rPr>
              <w:t>Le pouvoir adju</w:t>
            </w:r>
            <w:r w:rsidR="009E3920">
              <w:rPr>
                <w:rFonts w:eastAsia="Times New Roman"/>
                <w:i/>
                <w:iCs/>
                <w:lang w:val="fr-FR"/>
              </w:rPr>
              <w:t>dic</w:t>
            </w:r>
            <w:r w:rsidRPr="007C6BA7">
              <w:rPr>
                <w:rFonts w:eastAsia="Times New Roman"/>
                <w:i/>
                <w:iCs/>
                <w:lang w:val="fr-FR"/>
              </w:rPr>
              <w:t>ateur se réserve le droit de modifier les quantités prévues dans l’offre de plus ou moins 100% au moment de passation du marché et au cours de la période de validité du marché. L’augmentation ou la réduction de la valeur totale des biens résultant de cette modification ne peut excéder 25% du montant de l’offre financière originale.</w:t>
            </w:r>
            <w:r w:rsidRPr="007C6BA7">
              <w:rPr>
                <w:rFonts w:eastAsia="Times New Roman"/>
                <w:lang w:val="fr-FR"/>
              </w:rPr>
              <w:t xml:space="preserve"> ». </w:t>
            </w:r>
            <w:r w:rsidRPr="007C6BA7">
              <w:rPr>
                <w:rFonts w:eastAsia="Times New Roman"/>
                <w:b/>
                <w:bCs/>
                <w:lang w:val="fr-FR"/>
              </w:rPr>
              <w:t xml:space="preserve">Ce passage prête à plusieurs interprétations et a besoin d’éclaircissement : </w:t>
            </w:r>
          </w:p>
          <w:p w14:paraId="6978BC07" w14:textId="77777777" w:rsidR="007C6BA7" w:rsidRPr="007C6BA7" w:rsidRDefault="007C6BA7" w:rsidP="00FC4316">
            <w:pPr>
              <w:pStyle w:val="Paragraphedeliste"/>
              <w:jc w:val="both"/>
              <w:rPr>
                <w:b/>
                <w:bCs/>
                <w:lang w:val="fr-FR"/>
              </w:rPr>
            </w:pPr>
          </w:p>
          <w:p w14:paraId="57D23800" w14:textId="77777777" w:rsidR="007C6BA7" w:rsidRPr="007C6BA7" w:rsidRDefault="007C6BA7" w:rsidP="00FC4316">
            <w:pPr>
              <w:jc w:val="both"/>
              <w:rPr>
                <w:rFonts w:eastAsia="Times New Roman"/>
                <w:b/>
                <w:bCs/>
                <w:lang w:val="fr-FR"/>
              </w:rPr>
            </w:pPr>
            <w:r w:rsidRPr="007C6BA7">
              <w:rPr>
                <w:rFonts w:eastAsia="Times New Roman"/>
                <w:b/>
                <w:bCs/>
                <w:lang w:val="fr-FR"/>
              </w:rPr>
              <w:t xml:space="preserve">Le pouvoir adjudicateur peut augmenter les quantités des éléments du marché jusqu’à 100% des spécifications originales, mais ne peut payer que 25% de plus en surcout ? </w:t>
            </w:r>
          </w:p>
          <w:p w14:paraId="6897FE6A" w14:textId="77777777" w:rsidR="007C6BA7" w:rsidRPr="007C6BA7" w:rsidRDefault="007C6BA7" w:rsidP="00FC4316">
            <w:pPr>
              <w:jc w:val="both"/>
              <w:rPr>
                <w:rFonts w:eastAsia="Times New Roman"/>
                <w:b/>
                <w:bCs/>
                <w:lang w:val="fr-FR"/>
              </w:rPr>
            </w:pPr>
          </w:p>
          <w:p w14:paraId="36BB4193" w14:textId="2C9B9B0D" w:rsidR="007C6BA7" w:rsidRPr="007C6BA7" w:rsidRDefault="007C6BA7" w:rsidP="00FC4316">
            <w:pPr>
              <w:jc w:val="both"/>
              <w:rPr>
                <w:rFonts w:eastAsia="Times New Roman"/>
                <w:b/>
                <w:bCs/>
                <w:lang w:val="fr-FR"/>
              </w:rPr>
            </w:pPr>
            <w:r w:rsidRPr="007C6BA7">
              <w:rPr>
                <w:rFonts w:eastAsia="Times New Roman"/>
                <w:b/>
                <w:bCs/>
                <w:lang w:val="fr-FR"/>
              </w:rPr>
              <w:t>Ou, le pouvoir adjudicateur peut augmenter les quantités de certains éléments du marché jusqu’à 100% des spécifications originales, mais sans augmenter le cout total du montant de l’offre de plus de 25% ?</w:t>
            </w:r>
          </w:p>
          <w:p w14:paraId="48CF7B9E" w14:textId="77777777" w:rsidR="007C6BA7" w:rsidRPr="007C6BA7" w:rsidRDefault="007C6BA7" w:rsidP="00FC4316">
            <w:pPr>
              <w:jc w:val="both"/>
              <w:rPr>
                <w:b/>
                <w:bCs/>
                <w:lang w:val="fr-FR"/>
              </w:rPr>
            </w:pPr>
          </w:p>
          <w:p w14:paraId="5755834F" w14:textId="62F036E9" w:rsidR="004B211A" w:rsidRPr="004B211A" w:rsidRDefault="007C6BA7" w:rsidP="00FC4316">
            <w:pPr>
              <w:ind w:left="720"/>
              <w:jc w:val="both"/>
              <w:rPr>
                <w:b/>
                <w:bCs/>
                <w:lang w:val="fr-BE"/>
              </w:rPr>
            </w:pPr>
            <w:r w:rsidRPr="007C6BA7">
              <w:rPr>
                <w:b/>
                <w:bCs/>
                <w:lang w:val="fr-FR"/>
              </w:rPr>
              <w:t>Merci de préciser laquelle des deux interprétations est correcte ?</w:t>
            </w:r>
          </w:p>
        </w:tc>
        <w:tc>
          <w:tcPr>
            <w:tcW w:w="6237" w:type="dxa"/>
            <w:hideMark/>
          </w:tcPr>
          <w:p w14:paraId="72373665" w14:textId="77777777" w:rsidR="004B211A" w:rsidRPr="00A07B27" w:rsidRDefault="00C43018" w:rsidP="00FC4316">
            <w:pPr>
              <w:spacing w:before="60" w:after="60"/>
              <w:jc w:val="both"/>
              <w:rPr>
                <w:lang w:val="fr-BE"/>
              </w:rPr>
            </w:pPr>
            <w:r w:rsidRPr="00BB2660">
              <w:rPr>
                <w:lang w:val="fr-BE"/>
              </w:rPr>
              <w:t>Vous avez souhaité préciser laquelle des deux interprétations que vous avez formulées est exacte.</w:t>
            </w:r>
          </w:p>
          <w:p w14:paraId="0AC4B1BE" w14:textId="77777777" w:rsidR="00C43018" w:rsidRPr="008C7AC1" w:rsidRDefault="00C43018" w:rsidP="00FC4316">
            <w:pPr>
              <w:spacing w:before="60" w:after="60"/>
              <w:jc w:val="both"/>
              <w:rPr>
                <w:lang w:val="fr-BE"/>
              </w:rPr>
            </w:pPr>
            <w:r w:rsidRPr="008C7AC1">
              <w:rPr>
                <w:lang w:val="fr-BE"/>
              </w:rPr>
              <w:t>Aucune d’entre elles n’est exacte.</w:t>
            </w:r>
          </w:p>
          <w:p w14:paraId="069B6164" w14:textId="66A260CA" w:rsidR="005759CD" w:rsidRPr="00FC4316" w:rsidRDefault="00C43018" w:rsidP="00FC4316">
            <w:pPr>
              <w:spacing w:before="60" w:after="60"/>
              <w:jc w:val="both"/>
              <w:rPr>
                <w:rFonts w:eastAsia="Times New Roman"/>
                <w:bCs/>
                <w:iCs/>
                <w:u w:val="single"/>
                <w:lang w:val="fr-FR"/>
              </w:rPr>
            </w:pPr>
            <w:r w:rsidRPr="008C7AC1">
              <w:rPr>
                <w:b/>
                <w:bCs/>
                <w:lang w:val="fr-BE"/>
              </w:rPr>
              <w:t xml:space="preserve">Il est dit que </w:t>
            </w:r>
            <w:r w:rsidRPr="00BB2660">
              <w:rPr>
                <w:b/>
                <w:bCs/>
                <w:lang w:val="fr-BE"/>
              </w:rPr>
              <w:t>« </w:t>
            </w:r>
            <w:r w:rsidRPr="00BB2660">
              <w:rPr>
                <w:rFonts w:eastAsia="Times New Roman"/>
                <w:b/>
                <w:bCs/>
                <w:i/>
                <w:iCs/>
                <w:lang w:val="fr-FR"/>
              </w:rPr>
              <w:t xml:space="preserve">Le pouvoir adjutateur se réserve le droit de modifier les </w:t>
            </w:r>
            <w:r w:rsidRPr="00BB2660">
              <w:rPr>
                <w:rFonts w:eastAsia="Times New Roman"/>
                <w:b/>
                <w:bCs/>
                <w:i/>
                <w:iCs/>
                <w:u w:val="single"/>
                <w:lang w:val="fr-FR"/>
              </w:rPr>
              <w:t>quantités</w:t>
            </w:r>
            <w:r w:rsidRPr="00BB2660">
              <w:rPr>
                <w:rFonts w:eastAsia="Times New Roman"/>
                <w:b/>
                <w:bCs/>
                <w:i/>
                <w:iCs/>
                <w:lang w:val="fr-FR"/>
              </w:rPr>
              <w:t xml:space="preserve"> prévues dans l’offre de plus ou moins 100% …mais que la </w:t>
            </w:r>
            <w:r w:rsidRPr="00BB2660">
              <w:rPr>
                <w:rFonts w:eastAsia="Times New Roman"/>
                <w:b/>
                <w:bCs/>
                <w:i/>
                <w:iCs/>
                <w:u w:val="single"/>
                <w:lang w:val="fr-FR"/>
              </w:rPr>
              <w:t xml:space="preserve">valeur totale des biens suite à cette variation des quantités ne peut excéder 25% </w:t>
            </w:r>
            <w:r w:rsidRPr="00BB2660">
              <w:rPr>
                <w:rFonts w:eastAsia="Times New Roman"/>
                <w:b/>
                <w:bCs/>
                <w:i/>
                <w:iCs/>
                <w:lang w:val="fr-FR"/>
              </w:rPr>
              <w:t>du montant de l’offre financière »</w:t>
            </w:r>
          </w:p>
        </w:tc>
      </w:tr>
      <w:tr w:rsidR="004B211A" w:rsidRPr="000E4425" w14:paraId="3F42B27C" w14:textId="77777777" w:rsidTr="00FC4316">
        <w:trPr>
          <w:trHeight w:val="1577"/>
        </w:trPr>
        <w:tc>
          <w:tcPr>
            <w:tcW w:w="8648" w:type="dxa"/>
            <w:hideMark/>
          </w:tcPr>
          <w:p w14:paraId="586B4E81" w14:textId="77777777" w:rsidR="00262303" w:rsidRPr="00184E55" w:rsidRDefault="004B211A" w:rsidP="00FC4316">
            <w:pPr>
              <w:spacing w:before="60" w:after="60"/>
              <w:jc w:val="both"/>
              <w:rPr>
                <w:b/>
                <w:bCs/>
                <w:u w:val="single"/>
                <w:lang w:val="fr-BE"/>
              </w:rPr>
            </w:pPr>
            <w:r w:rsidRPr="00184E55">
              <w:rPr>
                <w:b/>
                <w:bCs/>
                <w:u w:val="single"/>
                <w:lang w:val="fr-BE"/>
              </w:rPr>
              <w:lastRenderedPageBreak/>
              <w:t xml:space="preserve">Question </w:t>
            </w:r>
            <w:r w:rsidR="005400EC" w:rsidRPr="00184E55">
              <w:rPr>
                <w:b/>
                <w:bCs/>
                <w:u w:val="single"/>
                <w:lang w:val="fr-BE"/>
              </w:rPr>
              <w:t>9</w:t>
            </w:r>
            <w:r w:rsidRPr="00184E55">
              <w:rPr>
                <w:b/>
                <w:bCs/>
                <w:u w:val="single"/>
                <w:lang w:val="fr-BE"/>
              </w:rPr>
              <w:t xml:space="preserve"> : </w:t>
            </w:r>
          </w:p>
          <w:p w14:paraId="27AF8740" w14:textId="39B4E657" w:rsidR="004B211A" w:rsidRPr="004B211A" w:rsidRDefault="007C6BA7" w:rsidP="00FC4316">
            <w:pPr>
              <w:jc w:val="both"/>
              <w:rPr>
                <w:b/>
                <w:bCs/>
                <w:lang w:val="fr-BE"/>
              </w:rPr>
            </w:pPr>
            <w:r w:rsidRPr="007C6BA7">
              <w:rPr>
                <w:rFonts w:eastAsia="Times New Roman"/>
                <w:u w:val="single"/>
                <w:lang w:val="fr-FR"/>
              </w:rPr>
              <w:t xml:space="preserve">Quantités </w:t>
            </w:r>
            <w:r w:rsidR="00916AEA" w:rsidRPr="007C6BA7">
              <w:rPr>
                <w:rFonts w:eastAsia="Times New Roman"/>
                <w:u w:val="single"/>
                <w:lang w:val="fr-FR"/>
              </w:rPr>
              <w:t>du matériel</w:t>
            </w:r>
            <w:r w:rsidRPr="007C6BA7">
              <w:rPr>
                <w:rFonts w:eastAsia="Times New Roman"/>
                <w:u w:val="single"/>
                <w:lang w:val="fr-FR"/>
              </w:rPr>
              <w:t xml:space="preserve"> dans l’offre</w:t>
            </w:r>
            <w:r w:rsidRPr="007C6BA7">
              <w:rPr>
                <w:rFonts w:eastAsia="Times New Roman"/>
                <w:lang w:val="fr-FR"/>
              </w:rPr>
              <w:t xml:space="preserve"> (Annexe II + III : Spécifications Techniques + Offre Technique) : </w:t>
            </w:r>
            <w:r w:rsidRPr="007C6BA7">
              <w:rPr>
                <w:rFonts w:eastAsia="Times New Roman"/>
                <w:b/>
                <w:bCs/>
                <w:lang w:val="fr-FR"/>
              </w:rPr>
              <w:t>Il n’y a aucune mention des quantités requise pour chaque élément de chaque lot. Ne faut-il donc compter qu’un exemplaire de chaque article, sinon merci de préciser les quantités requises pour chaque article dans l’annexe.</w:t>
            </w:r>
          </w:p>
        </w:tc>
        <w:tc>
          <w:tcPr>
            <w:tcW w:w="6237" w:type="dxa"/>
          </w:tcPr>
          <w:p w14:paraId="6B227AFB" w14:textId="77777777" w:rsidR="004753F5" w:rsidRPr="001951C2" w:rsidRDefault="004753F5" w:rsidP="004753F5">
            <w:pPr>
              <w:spacing w:before="60" w:after="60"/>
              <w:jc w:val="both"/>
              <w:rPr>
                <w:lang w:val="fr-BE"/>
              </w:rPr>
            </w:pPr>
            <w:r w:rsidRPr="001951C2">
              <w:rPr>
                <w:lang w:val="fr-BE"/>
              </w:rPr>
              <w:t>Vous avez souhaité connaitre les quantités à fournir pour chaque matériel de chaque lot.</w:t>
            </w:r>
          </w:p>
          <w:p w14:paraId="13E47AAB" w14:textId="6FC1AFA6" w:rsidR="004B211A" w:rsidRPr="004B211A" w:rsidRDefault="004753F5" w:rsidP="00FC4316">
            <w:pPr>
              <w:spacing w:before="60" w:after="60"/>
              <w:jc w:val="both"/>
              <w:rPr>
                <w:lang w:val="fr-BE"/>
              </w:rPr>
            </w:pPr>
            <w:r w:rsidRPr="001951C2">
              <w:rPr>
                <w:b/>
                <w:bCs/>
                <w:lang w:val="fr-BE"/>
              </w:rPr>
              <w:t>Il s’agit d’une unité</w:t>
            </w:r>
            <w:r>
              <w:rPr>
                <w:b/>
                <w:bCs/>
                <w:lang w:val="fr-BE"/>
              </w:rPr>
              <w:t xml:space="preserve"> (1)</w:t>
            </w:r>
            <w:r w:rsidRPr="001951C2">
              <w:rPr>
                <w:b/>
                <w:bCs/>
                <w:lang w:val="fr-BE"/>
              </w:rPr>
              <w:t xml:space="preserve"> de matériel par lot.</w:t>
            </w:r>
          </w:p>
        </w:tc>
      </w:tr>
      <w:tr w:rsidR="004B211A" w:rsidRPr="000E4425" w14:paraId="6211A2F2" w14:textId="77777777" w:rsidTr="00FC4316">
        <w:trPr>
          <w:trHeight w:val="2003"/>
        </w:trPr>
        <w:tc>
          <w:tcPr>
            <w:tcW w:w="8648" w:type="dxa"/>
            <w:hideMark/>
          </w:tcPr>
          <w:p w14:paraId="7CC61A02" w14:textId="77777777" w:rsidR="00262303" w:rsidRDefault="004B211A" w:rsidP="00FC4316">
            <w:pPr>
              <w:spacing w:before="60" w:after="60"/>
              <w:jc w:val="both"/>
              <w:rPr>
                <w:b/>
                <w:bCs/>
                <w:lang w:val="fr-BE"/>
              </w:rPr>
            </w:pPr>
            <w:r w:rsidRPr="00184E55">
              <w:rPr>
                <w:b/>
                <w:bCs/>
                <w:u w:val="single"/>
                <w:lang w:val="fr-BE"/>
              </w:rPr>
              <w:t xml:space="preserve">Question </w:t>
            </w:r>
            <w:r w:rsidR="005400EC" w:rsidRPr="00184E55">
              <w:rPr>
                <w:b/>
                <w:bCs/>
                <w:u w:val="single"/>
                <w:lang w:val="fr-BE"/>
              </w:rPr>
              <w:t>10</w:t>
            </w:r>
            <w:r w:rsidR="00262303">
              <w:rPr>
                <w:b/>
                <w:bCs/>
                <w:lang w:val="fr-BE"/>
              </w:rPr>
              <w:t> :</w:t>
            </w:r>
            <w:r w:rsidRPr="004B211A">
              <w:rPr>
                <w:b/>
                <w:bCs/>
                <w:lang w:val="fr-BE"/>
              </w:rPr>
              <w:t xml:space="preserve"> </w:t>
            </w:r>
          </w:p>
          <w:p w14:paraId="56E0AC32" w14:textId="273B4568" w:rsidR="004B211A" w:rsidRPr="00184E55" w:rsidRDefault="007C6BA7" w:rsidP="00FC4316">
            <w:pPr>
              <w:jc w:val="both"/>
              <w:rPr>
                <w:b/>
                <w:bCs/>
                <w:lang w:val="fr-BE"/>
              </w:rPr>
            </w:pPr>
            <w:r w:rsidRPr="007C6BA7">
              <w:rPr>
                <w:rFonts w:eastAsia="Times New Roman"/>
                <w:u w:val="single"/>
                <w:lang w:val="fr-FR"/>
              </w:rPr>
              <w:t>Origine</w:t>
            </w:r>
            <w:r w:rsidRPr="007C6BA7">
              <w:rPr>
                <w:rFonts w:eastAsia="Times New Roman"/>
                <w:lang w:val="fr-FR"/>
              </w:rPr>
              <w:t xml:space="preserve"> (Conditions Particulières, page 1, article 10.1) : « </w:t>
            </w:r>
            <w:r w:rsidRPr="007C6BA7">
              <w:rPr>
                <w:rFonts w:eastAsia="Times New Roman"/>
                <w:i/>
                <w:iCs/>
                <w:lang w:val="fr-FR"/>
              </w:rPr>
              <w:t>Tous les biens achetés doivent provenir d’un État membre de l’Union européenne ou d’</w:t>
            </w:r>
            <w:r w:rsidRPr="007C6BA7">
              <w:rPr>
                <w:rFonts w:eastAsia="Times New Roman"/>
                <w:i/>
                <w:iCs/>
                <w:u w:val="single"/>
                <w:lang w:val="fr-FR"/>
              </w:rPr>
              <w:t>un pays couvert par le programme</w:t>
            </w:r>
            <w:r w:rsidRPr="007C6BA7">
              <w:rPr>
                <w:rFonts w:eastAsia="Times New Roman"/>
                <w:i/>
                <w:iCs/>
                <w:lang w:val="fr-FR"/>
              </w:rPr>
              <w:t>.</w:t>
            </w:r>
            <w:r w:rsidRPr="007C6BA7">
              <w:rPr>
                <w:rFonts w:eastAsia="Times New Roman"/>
                <w:lang w:val="fr-FR"/>
              </w:rPr>
              <w:t xml:space="preserve"> ». </w:t>
            </w:r>
            <w:r w:rsidRPr="007C6BA7">
              <w:rPr>
                <w:rFonts w:eastAsia="Times New Roman"/>
                <w:b/>
                <w:bCs/>
                <w:lang w:val="fr-FR"/>
              </w:rPr>
              <w:t>Merci de confirmer que les « pays couvert par le programme » sont en fait les pays ACP (Afrique-Caraïbe-Pacifique), comme indiqué dans l’avis de marché de fourniture, sous les conditions de participation (page 1, article 8).</w:t>
            </w:r>
          </w:p>
        </w:tc>
        <w:tc>
          <w:tcPr>
            <w:tcW w:w="6237" w:type="dxa"/>
            <w:hideMark/>
          </w:tcPr>
          <w:p w14:paraId="043AE28B" w14:textId="3B082777" w:rsidR="00093BC0" w:rsidRPr="004B211A" w:rsidRDefault="004753F5" w:rsidP="00FC4316">
            <w:pPr>
              <w:spacing w:before="60" w:after="60"/>
              <w:jc w:val="both"/>
              <w:rPr>
                <w:lang w:val="fr-BE"/>
              </w:rPr>
            </w:pPr>
            <w:r>
              <w:rPr>
                <w:lang w:val="fr-BE"/>
              </w:rPr>
              <w:t xml:space="preserve">Merci de vous conformer aux dispositions de </w:t>
            </w:r>
            <w:r w:rsidR="0052468D" w:rsidRPr="00D6602E">
              <w:rPr>
                <w:lang w:val="fr-BE"/>
              </w:rPr>
              <w:t xml:space="preserve">la Partie II de l’annexe </w:t>
            </w:r>
            <w:r w:rsidR="00093BC0">
              <w:rPr>
                <w:lang w:val="fr-BE"/>
              </w:rPr>
              <w:t>A2a du PRAG</w:t>
            </w:r>
          </w:p>
        </w:tc>
      </w:tr>
      <w:tr w:rsidR="004B211A" w:rsidRPr="000E4425" w14:paraId="18112A50" w14:textId="77777777" w:rsidTr="00FC4316">
        <w:trPr>
          <w:trHeight w:val="2003"/>
        </w:trPr>
        <w:tc>
          <w:tcPr>
            <w:tcW w:w="8648" w:type="dxa"/>
            <w:hideMark/>
          </w:tcPr>
          <w:p w14:paraId="59A4FD72" w14:textId="77777777" w:rsidR="00262303" w:rsidRPr="00184E55" w:rsidRDefault="004B211A" w:rsidP="00FC4316">
            <w:pPr>
              <w:spacing w:before="60" w:after="60"/>
              <w:jc w:val="both"/>
              <w:rPr>
                <w:b/>
                <w:bCs/>
                <w:u w:val="single"/>
                <w:lang w:val="fr-BE"/>
              </w:rPr>
            </w:pPr>
            <w:r w:rsidRPr="00184E55">
              <w:rPr>
                <w:b/>
                <w:bCs/>
                <w:u w:val="single"/>
                <w:lang w:val="fr-BE"/>
              </w:rPr>
              <w:t xml:space="preserve">Question </w:t>
            </w:r>
            <w:r w:rsidR="005400EC" w:rsidRPr="00184E55">
              <w:rPr>
                <w:b/>
                <w:bCs/>
                <w:u w:val="single"/>
                <w:lang w:val="fr-BE"/>
              </w:rPr>
              <w:t>11</w:t>
            </w:r>
            <w:r w:rsidR="00262303" w:rsidRPr="00184E55">
              <w:rPr>
                <w:b/>
                <w:bCs/>
                <w:u w:val="single"/>
                <w:lang w:val="fr-BE"/>
              </w:rPr>
              <w:t> :</w:t>
            </w:r>
          </w:p>
          <w:p w14:paraId="299BEEF5" w14:textId="77ABF560" w:rsidR="004B211A" w:rsidRPr="00FC4316" w:rsidRDefault="007C6BA7" w:rsidP="00FC4316">
            <w:pPr>
              <w:jc w:val="both"/>
              <w:rPr>
                <w:b/>
                <w:bCs/>
                <w:lang w:val="fr-FR"/>
              </w:rPr>
            </w:pPr>
            <w:r w:rsidRPr="007C6BA7">
              <w:rPr>
                <w:rFonts w:eastAsia="Times New Roman"/>
                <w:u w:val="single"/>
                <w:lang w:val="fr-FR"/>
              </w:rPr>
              <w:t>Contenu des offres</w:t>
            </w:r>
            <w:r w:rsidRPr="007C6BA7">
              <w:rPr>
                <w:rFonts w:eastAsia="Times New Roman"/>
                <w:lang w:val="fr-FR"/>
              </w:rPr>
              <w:t xml:space="preserve"> (Instructions aux Soumissionnaires, page 5, partie 1) : L’offre technique doit contenir entre autres « des propositions techniques portant sur des services auxiliaires ». </w:t>
            </w:r>
            <w:r w:rsidRPr="007C6BA7">
              <w:rPr>
                <w:rFonts w:eastAsia="Times New Roman"/>
                <w:b/>
                <w:bCs/>
                <w:lang w:val="fr-FR"/>
              </w:rPr>
              <w:t>Nous comprenons par ceci que notre offre technique devrait contenir comme détails de « services auxiliaires » : le transport et la livraison des matériels, et l’installation des matériels (le cas échéant). Merci de confirmer ou de préciser s</w:t>
            </w:r>
            <w:r w:rsidR="005759CD">
              <w:rPr>
                <w:rFonts w:eastAsia="Times New Roman"/>
                <w:b/>
                <w:bCs/>
                <w:lang w:val="fr-FR"/>
              </w:rPr>
              <w:t>'</w:t>
            </w:r>
            <w:r w:rsidRPr="007C6BA7">
              <w:rPr>
                <w:rFonts w:eastAsia="Times New Roman"/>
                <w:b/>
                <w:bCs/>
                <w:lang w:val="fr-FR"/>
              </w:rPr>
              <w:t>il s’agit d’autres services.</w:t>
            </w:r>
          </w:p>
        </w:tc>
        <w:tc>
          <w:tcPr>
            <w:tcW w:w="6237" w:type="dxa"/>
          </w:tcPr>
          <w:p w14:paraId="55DA8A1F" w14:textId="77777777" w:rsidR="00F25AE1" w:rsidRPr="00FC4316" w:rsidRDefault="00F25AE1" w:rsidP="00F25AE1">
            <w:pPr>
              <w:spacing w:before="60" w:after="60"/>
              <w:jc w:val="both"/>
              <w:rPr>
                <w:rFonts w:eastAsia="Times New Roman"/>
                <w:lang w:val="fr-FR"/>
              </w:rPr>
            </w:pPr>
            <w:r w:rsidRPr="00FC4316">
              <w:rPr>
                <w:lang w:val="fr-BE"/>
              </w:rPr>
              <w:t xml:space="preserve">Vous avez souhaité confirmer </w:t>
            </w:r>
            <w:r w:rsidRPr="00FC4316">
              <w:rPr>
                <w:rFonts w:eastAsia="Times New Roman"/>
                <w:lang w:val="fr-FR"/>
              </w:rPr>
              <w:t>que les "services auxiliaires" font référence au transport et à la livraison des matériels, et à l’installation des matériels (le cas échéant).</w:t>
            </w:r>
          </w:p>
          <w:p w14:paraId="32AFA9C8" w14:textId="03654021" w:rsidR="0052468D" w:rsidRPr="004B211A" w:rsidRDefault="00F25AE1" w:rsidP="00FC4316">
            <w:pPr>
              <w:spacing w:before="60" w:after="60"/>
              <w:jc w:val="both"/>
              <w:rPr>
                <w:lang w:val="fr-BE"/>
              </w:rPr>
            </w:pPr>
            <w:r w:rsidRPr="00FC4316">
              <w:rPr>
                <w:rFonts w:eastAsia="Times New Roman"/>
                <w:lang w:val="fr-FR"/>
              </w:rPr>
              <w:t xml:space="preserve"> </w:t>
            </w:r>
            <w:r w:rsidRPr="00FC4316">
              <w:rPr>
                <w:rFonts w:eastAsia="Times New Roman"/>
                <w:b/>
                <w:lang w:val="fr-FR"/>
              </w:rPr>
              <w:t>Les services auxiliaires sont surtout liés à la formation des utilisateurs pour chaque type d’équipement</w:t>
            </w:r>
          </w:p>
        </w:tc>
      </w:tr>
      <w:tr w:rsidR="004B211A" w:rsidRPr="000E4425" w14:paraId="6D4F8876" w14:textId="77777777" w:rsidTr="00FC4316">
        <w:trPr>
          <w:trHeight w:val="2286"/>
        </w:trPr>
        <w:tc>
          <w:tcPr>
            <w:tcW w:w="8648" w:type="dxa"/>
            <w:hideMark/>
          </w:tcPr>
          <w:p w14:paraId="6590EB91" w14:textId="77777777" w:rsidR="00262303" w:rsidRDefault="004B211A" w:rsidP="00FC4316">
            <w:pPr>
              <w:spacing w:before="60" w:after="60"/>
              <w:jc w:val="both"/>
              <w:rPr>
                <w:lang w:val="fr-BE"/>
              </w:rPr>
            </w:pPr>
            <w:r w:rsidRPr="00184E55">
              <w:rPr>
                <w:b/>
                <w:bCs/>
                <w:u w:val="single"/>
                <w:lang w:val="fr-BE"/>
              </w:rPr>
              <w:t xml:space="preserve">Question </w:t>
            </w:r>
            <w:r w:rsidR="005400EC" w:rsidRPr="00184E55">
              <w:rPr>
                <w:b/>
                <w:bCs/>
                <w:u w:val="single"/>
                <w:lang w:val="fr-BE"/>
              </w:rPr>
              <w:t>1</w:t>
            </w:r>
            <w:r w:rsidRPr="00184E55">
              <w:rPr>
                <w:b/>
                <w:bCs/>
                <w:u w:val="single"/>
                <w:lang w:val="fr-BE"/>
              </w:rPr>
              <w:t>2</w:t>
            </w:r>
            <w:r w:rsidR="00262303">
              <w:rPr>
                <w:b/>
                <w:bCs/>
                <w:lang w:val="fr-BE"/>
              </w:rPr>
              <w:t> :</w:t>
            </w:r>
            <w:r w:rsidRPr="004B211A">
              <w:rPr>
                <w:lang w:val="fr-BE"/>
              </w:rPr>
              <w:t xml:space="preserve"> </w:t>
            </w:r>
          </w:p>
          <w:p w14:paraId="03AA15D6" w14:textId="3B90C336" w:rsidR="004B211A" w:rsidRPr="004B211A" w:rsidRDefault="007C6BA7" w:rsidP="00FC4316">
            <w:pPr>
              <w:jc w:val="both"/>
              <w:rPr>
                <w:lang w:val="fr-BE"/>
              </w:rPr>
            </w:pPr>
            <w:r w:rsidRPr="007C6BA7">
              <w:rPr>
                <w:rFonts w:eastAsia="Times New Roman"/>
                <w:u w:val="single"/>
                <w:lang w:val="fr-FR"/>
              </w:rPr>
              <w:t>Contenu des offres</w:t>
            </w:r>
            <w:r w:rsidRPr="007C6BA7">
              <w:rPr>
                <w:rFonts w:eastAsia="Times New Roman"/>
                <w:lang w:val="fr-FR"/>
              </w:rPr>
              <w:t xml:space="preserve"> (Instructions aux Soumissionnaires, page 6, partie 2) : L’offre financière devrait être livrée aussi en version électronique. Nous comprenons par ceci une version électronique en format PDF ou autre, livrée par clé USB faisant partie de l’offre déposée lors de la soumission des offres. </w:t>
            </w:r>
            <w:r w:rsidRPr="007C6BA7">
              <w:rPr>
                <w:rFonts w:eastAsia="Times New Roman"/>
                <w:b/>
                <w:bCs/>
                <w:lang w:val="fr-FR"/>
              </w:rPr>
              <w:t>Merci de confirmer que ceci n’est pas nécessaire pour l’offre technique, ainsi que la documentation précisée dans la partie 3.</w:t>
            </w:r>
          </w:p>
        </w:tc>
        <w:tc>
          <w:tcPr>
            <w:tcW w:w="6237" w:type="dxa"/>
            <w:hideMark/>
          </w:tcPr>
          <w:p w14:paraId="3C82A570" w14:textId="41C412B1" w:rsidR="00CC3EC6" w:rsidRDefault="00035393" w:rsidP="00FC4316">
            <w:pPr>
              <w:spacing w:before="60" w:after="60"/>
              <w:jc w:val="both"/>
              <w:rPr>
                <w:lang w:val="fr-BE"/>
              </w:rPr>
            </w:pPr>
            <w:r>
              <w:rPr>
                <w:lang w:val="fr-BE"/>
              </w:rPr>
              <w:t xml:space="preserve">Vous avez souhaité confirmer que la version électronique n’est pas </w:t>
            </w:r>
          </w:p>
          <w:p w14:paraId="02DF0688" w14:textId="3B9DC0D0" w:rsidR="004B211A" w:rsidRDefault="00035393" w:rsidP="00FC4316">
            <w:pPr>
              <w:spacing w:before="60" w:after="60"/>
              <w:jc w:val="both"/>
              <w:rPr>
                <w:rFonts w:eastAsia="Times New Roman"/>
                <w:b/>
                <w:bCs/>
                <w:lang w:val="fr-FR"/>
              </w:rPr>
            </w:pPr>
            <w:r w:rsidRPr="007C6BA7">
              <w:rPr>
                <w:rFonts w:eastAsia="Times New Roman"/>
                <w:b/>
                <w:bCs/>
                <w:lang w:val="fr-FR"/>
              </w:rPr>
              <w:t>nécessaire pour l’offre technique, ainsi que la documentation précisée dans la partie 3.</w:t>
            </w:r>
          </w:p>
          <w:p w14:paraId="7B119A0B" w14:textId="0D955207" w:rsidR="00035393" w:rsidRPr="00480469" w:rsidRDefault="00035393" w:rsidP="00FC4316">
            <w:pPr>
              <w:spacing w:before="60" w:after="60"/>
              <w:jc w:val="both"/>
              <w:rPr>
                <w:lang w:val="fr-BE"/>
              </w:rPr>
            </w:pPr>
            <w:r>
              <w:rPr>
                <w:rFonts w:eastAsia="Times New Roman"/>
                <w:b/>
                <w:bCs/>
                <w:lang w:val="fr-FR"/>
              </w:rPr>
              <w:t>La version électronique est nécessaire uniquement pour l’offre financière.</w:t>
            </w:r>
          </w:p>
        </w:tc>
      </w:tr>
      <w:tr w:rsidR="004B211A" w:rsidRPr="000E4425" w14:paraId="4E0E23F0" w14:textId="77777777" w:rsidTr="00184E55">
        <w:trPr>
          <w:trHeight w:val="2829"/>
        </w:trPr>
        <w:tc>
          <w:tcPr>
            <w:tcW w:w="8648" w:type="dxa"/>
            <w:hideMark/>
          </w:tcPr>
          <w:p w14:paraId="1F33096F" w14:textId="77777777" w:rsidR="00262303" w:rsidRDefault="004B211A" w:rsidP="00FC4316">
            <w:pPr>
              <w:spacing w:before="60" w:after="60"/>
              <w:jc w:val="both"/>
              <w:rPr>
                <w:b/>
                <w:bCs/>
                <w:lang w:val="fr-BE"/>
              </w:rPr>
            </w:pPr>
            <w:r w:rsidRPr="00184E55">
              <w:rPr>
                <w:b/>
                <w:bCs/>
                <w:u w:val="single"/>
                <w:lang w:val="fr-BE"/>
              </w:rPr>
              <w:lastRenderedPageBreak/>
              <w:t xml:space="preserve">Question </w:t>
            </w:r>
            <w:r w:rsidR="005400EC" w:rsidRPr="00184E55">
              <w:rPr>
                <w:b/>
                <w:bCs/>
                <w:u w:val="single"/>
                <w:lang w:val="fr-BE"/>
              </w:rPr>
              <w:t>1</w:t>
            </w:r>
            <w:r w:rsidRPr="00184E55">
              <w:rPr>
                <w:b/>
                <w:bCs/>
                <w:u w:val="single"/>
                <w:lang w:val="fr-BE"/>
              </w:rPr>
              <w:t>3</w:t>
            </w:r>
            <w:r w:rsidRPr="004B211A">
              <w:rPr>
                <w:b/>
                <w:bCs/>
                <w:lang w:val="fr-BE"/>
              </w:rPr>
              <w:t xml:space="preserve"> :</w:t>
            </w:r>
          </w:p>
          <w:p w14:paraId="04AAAD73" w14:textId="77777777" w:rsidR="007C6BA7" w:rsidRPr="007C6BA7" w:rsidRDefault="007C6BA7" w:rsidP="00FC4316">
            <w:pPr>
              <w:jc w:val="both"/>
              <w:rPr>
                <w:rFonts w:eastAsia="Times New Roman"/>
                <w:lang w:val="fr-FR"/>
              </w:rPr>
            </w:pPr>
            <w:r w:rsidRPr="007C6BA7">
              <w:rPr>
                <w:rFonts w:eastAsia="Times New Roman"/>
                <w:u w:val="single"/>
                <w:lang w:val="fr-FR"/>
              </w:rPr>
              <w:t>Contenu des offres</w:t>
            </w:r>
            <w:r w:rsidRPr="007C6BA7">
              <w:rPr>
                <w:rFonts w:eastAsia="Times New Roman"/>
                <w:lang w:val="fr-FR"/>
              </w:rPr>
              <w:t xml:space="preserve"> (Instructions aux Soumissionnaires, page 6, partie 3) : Sous autres documents à fournir, sans contrainte de format : </w:t>
            </w:r>
          </w:p>
          <w:p w14:paraId="22CCC76E" w14:textId="77777777" w:rsidR="007C6BA7" w:rsidRDefault="007C6BA7" w:rsidP="00FC4316">
            <w:pPr>
              <w:pStyle w:val="Paragraphedeliste"/>
              <w:jc w:val="both"/>
              <w:rPr>
                <w:lang w:val="fr-FR"/>
              </w:rPr>
            </w:pPr>
          </w:p>
          <w:p w14:paraId="250B98B6" w14:textId="77777777" w:rsidR="007C6BA7" w:rsidRDefault="007C6BA7" w:rsidP="00FC4316">
            <w:pPr>
              <w:pStyle w:val="Paragraphedeliste"/>
              <w:numPr>
                <w:ilvl w:val="1"/>
                <w:numId w:val="1"/>
              </w:numPr>
              <w:jc w:val="both"/>
              <w:rPr>
                <w:rFonts w:eastAsia="Times New Roman"/>
                <w:lang w:val="fr-FR"/>
              </w:rPr>
            </w:pPr>
            <w:r>
              <w:rPr>
                <w:rFonts w:eastAsia="Times New Roman"/>
                <w:lang w:val="fr-FR"/>
              </w:rPr>
              <w:t>Attestation de paiements des cotisations sociales (CNSS)</w:t>
            </w:r>
          </w:p>
          <w:p w14:paraId="48EE381D" w14:textId="77777777" w:rsidR="007C6BA7" w:rsidRDefault="007C6BA7" w:rsidP="00FC4316">
            <w:pPr>
              <w:pStyle w:val="Paragraphedeliste"/>
              <w:numPr>
                <w:ilvl w:val="1"/>
                <w:numId w:val="1"/>
              </w:numPr>
              <w:jc w:val="both"/>
              <w:rPr>
                <w:rFonts w:eastAsia="Times New Roman"/>
                <w:lang w:val="fr-FR"/>
              </w:rPr>
            </w:pPr>
            <w:r>
              <w:rPr>
                <w:rFonts w:eastAsia="Times New Roman"/>
                <w:lang w:val="fr-FR"/>
              </w:rPr>
              <w:t>Attestation d’absence de jugement, de liquidation judiciaire ou de règlement judiciaire</w:t>
            </w:r>
          </w:p>
          <w:p w14:paraId="03FDB6D4" w14:textId="2DFACF5E" w:rsidR="004B211A" w:rsidRPr="00FC4316" w:rsidRDefault="007C6BA7" w:rsidP="00FC4316">
            <w:pPr>
              <w:jc w:val="both"/>
              <w:rPr>
                <w:lang w:val="fr-BE"/>
              </w:rPr>
            </w:pPr>
            <w:r w:rsidRPr="007C6BA7">
              <w:rPr>
                <w:b/>
                <w:bCs/>
                <w:lang w:val="fr-FR"/>
              </w:rPr>
              <w:t>Merci de confirmer si ces deux documents sont requis pour les soumissionnaires basées hors du Benin.</w:t>
            </w:r>
          </w:p>
        </w:tc>
        <w:tc>
          <w:tcPr>
            <w:tcW w:w="6237" w:type="dxa"/>
            <w:hideMark/>
          </w:tcPr>
          <w:p w14:paraId="055B1B29" w14:textId="77777777" w:rsidR="004B211A" w:rsidRDefault="00035393" w:rsidP="00FC4316">
            <w:pPr>
              <w:spacing w:before="60" w:after="60"/>
              <w:jc w:val="both"/>
              <w:rPr>
                <w:lang w:val="fr-FR"/>
              </w:rPr>
            </w:pPr>
            <w:r w:rsidRPr="00035393">
              <w:rPr>
                <w:lang w:val="fr-BE"/>
              </w:rPr>
              <w:t xml:space="preserve">Vous avez souhaité confirmer que </w:t>
            </w:r>
            <w:r w:rsidRPr="00035393">
              <w:rPr>
                <w:lang w:val="fr-FR"/>
              </w:rPr>
              <w:t>ces deux documents sont requis pour les soumissionnaires basées hors du Benin.</w:t>
            </w:r>
          </w:p>
          <w:p w14:paraId="375B8BC7" w14:textId="60C90D34" w:rsidR="00035393" w:rsidRPr="00035393" w:rsidRDefault="00035393" w:rsidP="00FC4316">
            <w:pPr>
              <w:spacing w:before="60" w:after="60"/>
              <w:jc w:val="both"/>
              <w:rPr>
                <w:b/>
                <w:bCs/>
                <w:lang w:val="fr-BE"/>
              </w:rPr>
            </w:pPr>
            <w:r w:rsidRPr="00035393">
              <w:rPr>
                <w:b/>
                <w:bCs/>
                <w:lang w:val="fr-BE"/>
              </w:rPr>
              <w:t xml:space="preserve">Oui, ces deux documents sont </w:t>
            </w:r>
            <w:r w:rsidRPr="00035393">
              <w:rPr>
                <w:b/>
                <w:bCs/>
                <w:lang w:val="fr-FR"/>
              </w:rPr>
              <w:t xml:space="preserve">requis pour les soumissionnaires basées hors du Benin.  Du moins, l’équivalent </w:t>
            </w:r>
            <w:r w:rsidR="00937D5D">
              <w:rPr>
                <w:b/>
                <w:bCs/>
                <w:lang w:val="fr-FR"/>
              </w:rPr>
              <w:t xml:space="preserve">des deux documents </w:t>
            </w:r>
            <w:r w:rsidRPr="00035393">
              <w:rPr>
                <w:b/>
                <w:bCs/>
                <w:lang w:val="fr-FR"/>
              </w:rPr>
              <w:t>dans le pays où ils sont établis</w:t>
            </w:r>
            <w:r w:rsidR="00937D5D">
              <w:rPr>
                <w:b/>
                <w:bCs/>
                <w:lang w:val="fr-FR"/>
              </w:rPr>
              <w:t xml:space="preserve"> est requis.</w:t>
            </w:r>
          </w:p>
        </w:tc>
      </w:tr>
      <w:tr w:rsidR="004B211A" w:rsidRPr="000E4425" w14:paraId="362F7008" w14:textId="77777777" w:rsidTr="00FC4316">
        <w:trPr>
          <w:trHeight w:val="2428"/>
        </w:trPr>
        <w:tc>
          <w:tcPr>
            <w:tcW w:w="8648" w:type="dxa"/>
            <w:hideMark/>
          </w:tcPr>
          <w:p w14:paraId="0F859571" w14:textId="77777777" w:rsidR="00262303" w:rsidRPr="00184E55" w:rsidRDefault="004B211A" w:rsidP="00FC4316">
            <w:pPr>
              <w:spacing w:before="60" w:after="60"/>
              <w:jc w:val="both"/>
              <w:rPr>
                <w:b/>
                <w:bCs/>
                <w:u w:val="single"/>
                <w:lang w:val="fr-BE"/>
              </w:rPr>
            </w:pPr>
            <w:r w:rsidRPr="00184E55">
              <w:rPr>
                <w:b/>
                <w:bCs/>
                <w:u w:val="single"/>
                <w:lang w:val="fr-BE"/>
              </w:rPr>
              <w:t xml:space="preserve">Question </w:t>
            </w:r>
            <w:r w:rsidR="005400EC" w:rsidRPr="00184E55">
              <w:rPr>
                <w:b/>
                <w:bCs/>
                <w:u w:val="single"/>
                <w:lang w:val="fr-BE"/>
              </w:rPr>
              <w:t>1</w:t>
            </w:r>
            <w:r w:rsidRPr="00184E55">
              <w:rPr>
                <w:b/>
                <w:bCs/>
                <w:u w:val="single"/>
                <w:lang w:val="fr-BE"/>
              </w:rPr>
              <w:t>4:</w:t>
            </w:r>
          </w:p>
          <w:p w14:paraId="11120B5F" w14:textId="28E49934" w:rsidR="007C6BA7" w:rsidRDefault="007C6BA7" w:rsidP="00FC4316">
            <w:pPr>
              <w:jc w:val="both"/>
              <w:rPr>
                <w:lang w:val="fr-FR"/>
              </w:rPr>
            </w:pPr>
            <w:r w:rsidRPr="007C6BA7">
              <w:rPr>
                <w:b/>
                <w:bCs/>
                <w:lang w:val="fr-FR"/>
              </w:rPr>
              <w:t>Finalement, suite au</w:t>
            </w:r>
            <w:r w:rsidR="00EB12D6">
              <w:rPr>
                <w:b/>
                <w:bCs/>
                <w:lang w:val="fr-FR"/>
              </w:rPr>
              <w:t>x</w:t>
            </w:r>
            <w:r w:rsidRPr="007C6BA7">
              <w:rPr>
                <w:b/>
                <w:bCs/>
                <w:lang w:val="fr-FR"/>
              </w:rPr>
              <w:t xml:space="preserve"> difficultés de formuler une offre complète en absence des précisions élaborées ci-dessus, nous demanderions que la date de soumission des appels d’offres soit prolongée de 30 jours après la publication des réponses </w:t>
            </w:r>
            <w:r w:rsidR="00937D5D" w:rsidRPr="007C6BA7">
              <w:rPr>
                <w:b/>
                <w:bCs/>
                <w:lang w:val="fr-FR"/>
              </w:rPr>
              <w:t>aux</w:t>
            </w:r>
            <w:r w:rsidRPr="007C6BA7">
              <w:rPr>
                <w:b/>
                <w:bCs/>
                <w:lang w:val="fr-FR"/>
              </w:rPr>
              <w:t xml:space="preserve"> questions ci-dessus</w:t>
            </w:r>
            <w:r>
              <w:rPr>
                <w:lang w:val="fr-FR"/>
              </w:rPr>
              <w:t xml:space="preserve">. </w:t>
            </w:r>
          </w:p>
          <w:p w14:paraId="12C2CF12" w14:textId="502AB296" w:rsidR="004B211A" w:rsidRPr="004B211A" w:rsidRDefault="004B211A" w:rsidP="00FC4316">
            <w:pPr>
              <w:spacing w:before="60" w:after="60"/>
              <w:jc w:val="both"/>
              <w:rPr>
                <w:lang w:val="fr-BE"/>
              </w:rPr>
            </w:pPr>
          </w:p>
        </w:tc>
        <w:tc>
          <w:tcPr>
            <w:tcW w:w="6237" w:type="dxa"/>
            <w:hideMark/>
          </w:tcPr>
          <w:p w14:paraId="439A2BF9" w14:textId="4EC2BD3E" w:rsidR="004B211A" w:rsidRDefault="00BB2660" w:rsidP="00FC4316">
            <w:pPr>
              <w:spacing w:before="60" w:after="60"/>
              <w:jc w:val="both"/>
              <w:rPr>
                <w:lang w:val="fr-BE"/>
              </w:rPr>
            </w:pPr>
            <w:r>
              <w:rPr>
                <w:lang w:val="fr-BE"/>
              </w:rPr>
              <w:t>Conformément au PRAG</w:t>
            </w:r>
            <w:r w:rsidR="00F224B0">
              <w:rPr>
                <w:lang w:val="fr-BE"/>
              </w:rPr>
              <w:t xml:space="preserve"> (voir annexe B8b), la d</w:t>
            </w:r>
            <w:r w:rsidR="00F224B0" w:rsidRPr="00F224B0">
              <w:rPr>
                <w:lang w:val="fr-BE"/>
              </w:rPr>
              <w:t>ate limite à laquelle le pouvoir adjudicateur doit répondre aux dema</w:t>
            </w:r>
            <w:r w:rsidR="00F224B0">
              <w:rPr>
                <w:lang w:val="fr-BE"/>
              </w:rPr>
              <w:t>ndes d’éclaircissements est la date correspondante à</w:t>
            </w:r>
            <w:r w:rsidR="00F224B0" w:rsidRPr="00F224B0">
              <w:rPr>
                <w:lang w:val="fr-BE"/>
              </w:rPr>
              <w:t xml:space="preserve"> 11 jours avant la date limite de soumission des offres</w:t>
            </w:r>
            <w:r w:rsidR="00F224B0">
              <w:rPr>
                <w:lang w:val="fr-BE"/>
              </w:rPr>
              <w:t xml:space="preserve">. Les délais prévus dans le </w:t>
            </w:r>
            <w:r w:rsidR="00A07B27">
              <w:rPr>
                <w:lang w:val="fr-BE"/>
              </w:rPr>
              <w:t xml:space="preserve">calendrier du document "Instructions aux soumissionnaires" </w:t>
            </w:r>
            <w:r w:rsidR="00A07B27" w:rsidRPr="00A07B27">
              <w:rPr>
                <w:lang w:val="fr-BE"/>
              </w:rPr>
              <w:t>est conforme à cette exigence</w:t>
            </w:r>
            <w:r w:rsidR="00A07B27">
              <w:rPr>
                <w:lang w:val="fr-BE"/>
              </w:rPr>
              <w:t xml:space="preserve"> du PRAG</w:t>
            </w:r>
            <w:r w:rsidR="00EB7E5D">
              <w:rPr>
                <w:lang w:val="fr-BE"/>
              </w:rPr>
              <w:t>. Alors la prolongation de la date limite des soumissions des offres n'est pas possible</w:t>
            </w:r>
            <w:r w:rsidR="00A07B27">
              <w:rPr>
                <w:lang w:val="fr-BE"/>
              </w:rPr>
              <w:t xml:space="preserve">. </w:t>
            </w:r>
          </w:p>
          <w:p w14:paraId="568E8FCC" w14:textId="56C0F595" w:rsidR="00F224B0" w:rsidRPr="004B211A" w:rsidRDefault="00F224B0" w:rsidP="00FC4316">
            <w:pPr>
              <w:spacing w:before="60" w:after="60"/>
              <w:jc w:val="both"/>
              <w:rPr>
                <w:lang w:val="fr-BE"/>
              </w:rPr>
            </w:pPr>
          </w:p>
        </w:tc>
      </w:tr>
    </w:tbl>
    <w:p w14:paraId="54E9C476" w14:textId="77777777" w:rsidR="00BD4E85" w:rsidRPr="004B211A" w:rsidRDefault="00EC45E6" w:rsidP="004B211A">
      <w:pPr>
        <w:rPr>
          <w:lang w:val="fr-BE"/>
        </w:rPr>
      </w:pPr>
    </w:p>
    <w:sectPr w:rsidR="00BD4E85" w:rsidRPr="004B211A" w:rsidSect="00184E55">
      <w:footerReference w:type="default" r:id="rId7"/>
      <w:pgSz w:w="16838" w:h="11906" w:orient="landscape"/>
      <w:pgMar w:top="851" w:right="1418" w:bottom="851"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CE39" w14:textId="77777777" w:rsidR="00144A95" w:rsidRDefault="00144A95" w:rsidP="00590649">
      <w:pPr>
        <w:spacing w:after="0" w:line="240" w:lineRule="auto"/>
      </w:pPr>
      <w:r>
        <w:separator/>
      </w:r>
    </w:p>
  </w:endnote>
  <w:endnote w:type="continuationSeparator" w:id="0">
    <w:p w14:paraId="77C2F049" w14:textId="77777777" w:rsidR="00144A95" w:rsidRDefault="00144A95" w:rsidP="0059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07489"/>
      <w:docPartObj>
        <w:docPartGallery w:val="Page Numbers (Bottom of Page)"/>
        <w:docPartUnique/>
      </w:docPartObj>
    </w:sdtPr>
    <w:sdtEndPr/>
    <w:sdtContent>
      <w:sdt>
        <w:sdtPr>
          <w:id w:val="-1769616900"/>
          <w:docPartObj>
            <w:docPartGallery w:val="Page Numbers (Top of Page)"/>
            <w:docPartUnique/>
          </w:docPartObj>
        </w:sdtPr>
        <w:sdtEndPr/>
        <w:sdtContent>
          <w:p w14:paraId="5B3C452E" w14:textId="42131A60" w:rsidR="00590649" w:rsidRDefault="00590649">
            <w:pPr>
              <w:pStyle w:val="Pieddepage"/>
              <w:jc w:val="right"/>
            </w:pPr>
            <w:r>
              <w:rPr>
                <w:lang w:val="fr-FR"/>
              </w:rPr>
              <w:t xml:space="preserve">Page </w:t>
            </w:r>
            <w:r w:rsidR="004871A3">
              <w:rPr>
                <w:b/>
                <w:bCs/>
                <w:sz w:val="24"/>
                <w:szCs w:val="24"/>
              </w:rPr>
              <w:fldChar w:fldCharType="begin"/>
            </w:r>
            <w:r>
              <w:rPr>
                <w:b/>
                <w:bCs/>
              </w:rPr>
              <w:instrText>PAGE</w:instrText>
            </w:r>
            <w:r w:rsidR="004871A3">
              <w:rPr>
                <w:b/>
                <w:bCs/>
                <w:sz w:val="24"/>
                <w:szCs w:val="24"/>
              </w:rPr>
              <w:fldChar w:fldCharType="separate"/>
            </w:r>
            <w:r w:rsidR="00916AEA">
              <w:rPr>
                <w:b/>
                <w:bCs/>
                <w:noProof/>
              </w:rPr>
              <w:t>1</w:t>
            </w:r>
            <w:r w:rsidR="004871A3">
              <w:rPr>
                <w:b/>
                <w:bCs/>
                <w:sz w:val="24"/>
                <w:szCs w:val="24"/>
              </w:rPr>
              <w:fldChar w:fldCharType="end"/>
            </w:r>
            <w:r>
              <w:rPr>
                <w:lang w:val="fr-FR"/>
              </w:rPr>
              <w:t xml:space="preserve"> sur </w:t>
            </w:r>
            <w:r w:rsidR="004871A3">
              <w:rPr>
                <w:b/>
                <w:bCs/>
                <w:sz w:val="24"/>
                <w:szCs w:val="24"/>
              </w:rPr>
              <w:fldChar w:fldCharType="begin"/>
            </w:r>
            <w:r>
              <w:rPr>
                <w:b/>
                <w:bCs/>
              </w:rPr>
              <w:instrText>NUMPAGES</w:instrText>
            </w:r>
            <w:r w:rsidR="004871A3">
              <w:rPr>
                <w:b/>
                <w:bCs/>
                <w:sz w:val="24"/>
                <w:szCs w:val="24"/>
              </w:rPr>
              <w:fldChar w:fldCharType="separate"/>
            </w:r>
            <w:r w:rsidR="00916AEA">
              <w:rPr>
                <w:b/>
                <w:bCs/>
                <w:noProof/>
              </w:rPr>
              <w:t>4</w:t>
            </w:r>
            <w:r w:rsidR="004871A3">
              <w:rPr>
                <w:b/>
                <w:bCs/>
                <w:sz w:val="24"/>
                <w:szCs w:val="24"/>
              </w:rPr>
              <w:fldChar w:fldCharType="end"/>
            </w:r>
          </w:p>
        </w:sdtContent>
      </w:sdt>
    </w:sdtContent>
  </w:sdt>
  <w:p w14:paraId="3236D4DF" w14:textId="77777777" w:rsidR="00590649" w:rsidRDefault="005906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ECEC" w14:textId="77777777" w:rsidR="00144A95" w:rsidRDefault="00144A95" w:rsidP="00590649">
      <w:pPr>
        <w:spacing w:after="0" w:line="240" w:lineRule="auto"/>
      </w:pPr>
      <w:r>
        <w:separator/>
      </w:r>
    </w:p>
  </w:footnote>
  <w:footnote w:type="continuationSeparator" w:id="0">
    <w:p w14:paraId="356FE615" w14:textId="77777777" w:rsidR="00144A95" w:rsidRDefault="00144A95" w:rsidP="00590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7D1"/>
    <w:multiLevelType w:val="hybridMultilevel"/>
    <w:tmpl w:val="E85EF45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200B0434"/>
    <w:multiLevelType w:val="hybridMultilevel"/>
    <w:tmpl w:val="E85EF45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D9E2001"/>
    <w:multiLevelType w:val="hybridMultilevel"/>
    <w:tmpl w:val="D1B6DA14"/>
    <w:lvl w:ilvl="0" w:tplc="053E6456">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 w15:restartNumberingAfterBreak="0">
    <w:nsid w:val="66941B87"/>
    <w:multiLevelType w:val="hybridMultilevel"/>
    <w:tmpl w:val="45EA70B4"/>
    <w:lvl w:ilvl="0" w:tplc="9CFCE2EE">
      <w:start w:val="1"/>
      <w:numFmt w:val="lowerLetter"/>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436A9C"/>
    <w:multiLevelType w:val="hybridMultilevel"/>
    <w:tmpl w:val="E85EF45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B211A"/>
    <w:rsid w:val="00012938"/>
    <w:rsid w:val="00035393"/>
    <w:rsid w:val="00041226"/>
    <w:rsid w:val="000665FF"/>
    <w:rsid w:val="00093BC0"/>
    <w:rsid w:val="000E4425"/>
    <w:rsid w:val="00104631"/>
    <w:rsid w:val="00144A95"/>
    <w:rsid w:val="00181A30"/>
    <w:rsid w:val="00184E55"/>
    <w:rsid w:val="00192CED"/>
    <w:rsid w:val="001951C2"/>
    <w:rsid w:val="00224401"/>
    <w:rsid w:val="00262303"/>
    <w:rsid w:val="00313D7C"/>
    <w:rsid w:val="00346292"/>
    <w:rsid w:val="004753F5"/>
    <w:rsid w:val="00480469"/>
    <w:rsid w:val="004871A3"/>
    <w:rsid w:val="004B211A"/>
    <w:rsid w:val="004B48FF"/>
    <w:rsid w:val="0052468D"/>
    <w:rsid w:val="005400EC"/>
    <w:rsid w:val="00541F0D"/>
    <w:rsid w:val="005759CD"/>
    <w:rsid w:val="00590649"/>
    <w:rsid w:val="005B5F62"/>
    <w:rsid w:val="005B66B7"/>
    <w:rsid w:val="005C302F"/>
    <w:rsid w:val="006B1AF5"/>
    <w:rsid w:val="00734A87"/>
    <w:rsid w:val="007C6BA7"/>
    <w:rsid w:val="00816A39"/>
    <w:rsid w:val="00820F2B"/>
    <w:rsid w:val="0087777D"/>
    <w:rsid w:val="008C7AC1"/>
    <w:rsid w:val="00916AEA"/>
    <w:rsid w:val="00937D5D"/>
    <w:rsid w:val="009E3920"/>
    <w:rsid w:val="00A07B27"/>
    <w:rsid w:val="00A40381"/>
    <w:rsid w:val="00A521E6"/>
    <w:rsid w:val="00B66C72"/>
    <w:rsid w:val="00BB2660"/>
    <w:rsid w:val="00BB5F84"/>
    <w:rsid w:val="00BC2903"/>
    <w:rsid w:val="00BC4A7A"/>
    <w:rsid w:val="00C1426B"/>
    <w:rsid w:val="00C43018"/>
    <w:rsid w:val="00C545C8"/>
    <w:rsid w:val="00C948E8"/>
    <w:rsid w:val="00CA3634"/>
    <w:rsid w:val="00CC3EC6"/>
    <w:rsid w:val="00CC4706"/>
    <w:rsid w:val="00CD24EA"/>
    <w:rsid w:val="00D0466C"/>
    <w:rsid w:val="00D6602E"/>
    <w:rsid w:val="00E37504"/>
    <w:rsid w:val="00E76A78"/>
    <w:rsid w:val="00EB12D6"/>
    <w:rsid w:val="00EB7E5D"/>
    <w:rsid w:val="00EC45E6"/>
    <w:rsid w:val="00F224B0"/>
    <w:rsid w:val="00F25AE1"/>
    <w:rsid w:val="00FC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3715"/>
  <w15:docId w15:val="{65DB666F-A1AC-483E-A3F4-532CB3D1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2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1E6"/>
    <w:rPr>
      <w:rFonts w:ascii="Tahoma" w:hAnsi="Tahoma" w:cs="Tahoma"/>
      <w:sz w:val="16"/>
      <w:szCs w:val="16"/>
    </w:rPr>
  </w:style>
  <w:style w:type="paragraph" w:styleId="En-tte">
    <w:name w:val="header"/>
    <w:basedOn w:val="Normal"/>
    <w:link w:val="En-tteCar"/>
    <w:uiPriority w:val="99"/>
    <w:unhideWhenUsed/>
    <w:rsid w:val="00590649"/>
    <w:pPr>
      <w:tabs>
        <w:tab w:val="center" w:pos="4536"/>
        <w:tab w:val="right" w:pos="9072"/>
      </w:tabs>
      <w:spacing w:after="0" w:line="240" w:lineRule="auto"/>
    </w:pPr>
  </w:style>
  <w:style w:type="character" w:customStyle="1" w:styleId="En-tteCar">
    <w:name w:val="En-tête Car"/>
    <w:basedOn w:val="Policepardfaut"/>
    <w:link w:val="En-tte"/>
    <w:uiPriority w:val="99"/>
    <w:rsid w:val="00590649"/>
  </w:style>
  <w:style w:type="paragraph" w:styleId="Pieddepage">
    <w:name w:val="footer"/>
    <w:basedOn w:val="Normal"/>
    <w:link w:val="PieddepageCar"/>
    <w:uiPriority w:val="99"/>
    <w:unhideWhenUsed/>
    <w:rsid w:val="005906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0649"/>
  </w:style>
  <w:style w:type="paragraph" w:styleId="Textebrut">
    <w:name w:val="Plain Text"/>
    <w:basedOn w:val="Normal"/>
    <w:link w:val="TextebrutCar"/>
    <w:uiPriority w:val="99"/>
    <w:unhideWhenUsed/>
    <w:rsid w:val="00820F2B"/>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820F2B"/>
    <w:rPr>
      <w:rFonts w:ascii="Calibri" w:hAnsi="Calibri"/>
      <w:szCs w:val="21"/>
      <w:lang w:val="fr-FR"/>
    </w:rPr>
  </w:style>
  <w:style w:type="paragraph" w:styleId="Paragraphedeliste">
    <w:name w:val="List Paragraph"/>
    <w:basedOn w:val="Normal"/>
    <w:uiPriority w:val="34"/>
    <w:qFormat/>
    <w:rsid w:val="00820F2B"/>
    <w:pPr>
      <w:spacing w:after="0" w:line="240" w:lineRule="auto"/>
      <w:ind w:left="720"/>
    </w:pPr>
    <w:rPr>
      <w:rFonts w:ascii="Calibri" w:hAnsi="Calibri" w:cs="Calibri"/>
    </w:rPr>
  </w:style>
  <w:style w:type="paragraph" w:styleId="Notedebasdepage">
    <w:name w:val="footnote text"/>
    <w:aliases w:val="Fußnote,Fußnotentextf,Note de bas de page Car Car Car Car Car Car Car Car Car Car,Note de bas de page Car Car Car Car,Note de bas de page Car Car Car Car Car Car Car Car Car,ft,f"/>
    <w:basedOn w:val="Normal"/>
    <w:link w:val="NotedebasdepageCar"/>
    <w:uiPriority w:val="99"/>
    <w:semiHidden/>
    <w:unhideWhenUsed/>
    <w:rsid w:val="0052468D"/>
    <w:pPr>
      <w:spacing w:before="100" w:beforeAutospacing="1" w:after="100" w:afterAutospacing="1" w:line="240" w:lineRule="auto"/>
      <w:jc w:val="both"/>
    </w:pPr>
    <w:rPr>
      <w:rFonts w:ascii="Times New Roman" w:eastAsia="Calibri" w:hAnsi="Times New Roman" w:cs="Times New Roman"/>
      <w:sz w:val="20"/>
      <w:szCs w:val="20"/>
      <w:lang w:val="fr-FR" w:eastAsia="fr-FR" w:bidi="fr-FR"/>
    </w:rPr>
  </w:style>
  <w:style w:type="character" w:customStyle="1" w:styleId="NotedebasdepageCar">
    <w:name w:val="Note de bas de page Car"/>
    <w:aliases w:val="Fußnote Car,Fußnotentextf Car,Note de bas de page Car Car Car Car Car Car Car Car Car Car Car,Note de bas de page Car Car Car Car Car,Note de bas de page Car Car Car Car Car Car Car Car Car Car1,ft Car,f Car"/>
    <w:basedOn w:val="Policepardfaut"/>
    <w:link w:val="Notedebasdepage"/>
    <w:uiPriority w:val="99"/>
    <w:semiHidden/>
    <w:rsid w:val="0052468D"/>
    <w:rPr>
      <w:rFonts w:ascii="Times New Roman" w:eastAsia="Calibri" w:hAnsi="Times New Roman" w:cs="Times New Roman"/>
      <w:sz w:val="20"/>
      <w:szCs w:val="20"/>
      <w:lang w:val="fr-FR" w:eastAsia="fr-FR" w:bidi="fr-FR"/>
    </w:rPr>
  </w:style>
  <w:style w:type="character" w:styleId="Appelnotedebasdep">
    <w:name w:val="footnote reference"/>
    <w:aliases w:val="BVI fnr,(Footnote Reference),SUPERS,Footnote Reference/,Footnote symbol,Footnotes refss,Footnote Reference Superscript,Footnote,Footnote reference number,note TESI,EN Footnote Reference,Voetnootverwijzing,Times 10 Point,No,Re"/>
    <w:rsid w:val="0052468D"/>
    <w:rPr>
      <w:vertAlign w:val="superscript"/>
    </w:rPr>
  </w:style>
  <w:style w:type="character" w:customStyle="1" w:styleId="DeltaViewInsertion">
    <w:name w:val="DeltaView Insertion"/>
    <w:uiPriority w:val="99"/>
    <w:rsid w:val="0052468D"/>
    <w:rPr>
      <w:b/>
      <w:bCs w:val="0"/>
      <w:i/>
      <w:iCs w:val="0"/>
      <w:color w:val="000000"/>
    </w:rPr>
  </w:style>
  <w:style w:type="character" w:styleId="Lienhypertexte">
    <w:name w:val="Hyperlink"/>
    <w:uiPriority w:val="99"/>
    <w:unhideWhenUsed/>
    <w:rsid w:val="0052468D"/>
    <w:rPr>
      <w:color w:val="0000FF"/>
      <w:u w:val="single"/>
    </w:rPr>
  </w:style>
  <w:style w:type="character" w:customStyle="1" w:styleId="Marker">
    <w:name w:val="Marker"/>
    <w:rsid w:val="0052468D"/>
    <w:rPr>
      <w:color w:val="0000FF"/>
    </w:rPr>
  </w:style>
  <w:style w:type="character" w:styleId="Marquedecommentaire">
    <w:name w:val="annotation reference"/>
    <w:basedOn w:val="Policepardfaut"/>
    <w:uiPriority w:val="99"/>
    <w:semiHidden/>
    <w:unhideWhenUsed/>
    <w:rsid w:val="00093BC0"/>
    <w:rPr>
      <w:sz w:val="16"/>
      <w:szCs w:val="16"/>
    </w:rPr>
  </w:style>
  <w:style w:type="paragraph" w:styleId="Commentaire">
    <w:name w:val="annotation text"/>
    <w:basedOn w:val="Normal"/>
    <w:link w:val="CommentaireCar"/>
    <w:uiPriority w:val="99"/>
    <w:semiHidden/>
    <w:unhideWhenUsed/>
    <w:rsid w:val="00093BC0"/>
    <w:pPr>
      <w:spacing w:line="240" w:lineRule="auto"/>
    </w:pPr>
    <w:rPr>
      <w:sz w:val="20"/>
      <w:szCs w:val="20"/>
    </w:rPr>
  </w:style>
  <w:style w:type="character" w:customStyle="1" w:styleId="CommentaireCar">
    <w:name w:val="Commentaire Car"/>
    <w:basedOn w:val="Policepardfaut"/>
    <w:link w:val="Commentaire"/>
    <w:uiPriority w:val="99"/>
    <w:semiHidden/>
    <w:rsid w:val="00093BC0"/>
    <w:rPr>
      <w:sz w:val="20"/>
      <w:szCs w:val="20"/>
    </w:rPr>
  </w:style>
  <w:style w:type="paragraph" w:styleId="Objetducommentaire">
    <w:name w:val="annotation subject"/>
    <w:basedOn w:val="Commentaire"/>
    <w:next w:val="Commentaire"/>
    <w:link w:val="ObjetducommentaireCar"/>
    <w:uiPriority w:val="99"/>
    <w:semiHidden/>
    <w:unhideWhenUsed/>
    <w:rsid w:val="00093BC0"/>
    <w:rPr>
      <w:b/>
      <w:bCs/>
    </w:rPr>
  </w:style>
  <w:style w:type="character" w:customStyle="1" w:styleId="ObjetducommentaireCar">
    <w:name w:val="Objet du commentaire Car"/>
    <w:basedOn w:val="CommentaireCar"/>
    <w:link w:val="Objetducommentaire"/>
    <w:uiPriority w:val="99"/>
    <w:semiHidden/>
    <w:rsid w:val="00093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82442">
      <w:bodyDiv w:val="1"/>
      <w:marLeft w:val="0"/>
      <w:marRight w:val="0"/>
      <w:marTop w:val="0"/>
      <w:marBottom w:val="0"/>
      <w:divBdr>
        <w:top w:val="none" w:sz="0" w:space="0" w:color="auto"/>
        <w:left w:val="none" w:sz="0" w:space="0" w:color="auto"/>
        <w:bottom w:val="none" w:sz="0" w:space="0" w:color="auto"/>
        <w:right w:val="none" w:sz="0" w:space="0" w:color="auto"/>
      </w:divBdr>
    </w:div>
    <w:div w:id="278031185">
      <w:bodyDiv w:val="1"/>
      <w:marLeft w:val="0"/>
      <w:marRight w:val="0"/>
      <w:marTop w:val="0"/>
      <w:marBottom w:val="0"/>
      <w:divBdr>
        <w:top w:val="none" w:sz="0" w:space="0" w:color="auto"/>
        <w:left w:val="none" w:sz="0" w:space="0" w:color="auto"/>
        <w:bottom w:val="none" w:sz="0" w:space="0" w:color="auto"/>
        <w:right w:val="none" w:sz="0" w:space="0" w:color="auto"/>
      </w:divBdr>
    </w:div>
    <w:div w:id="493960223">
      <w:bodyDiv w:val="1"/>
      <w:marLeft w:val="0"/>
      <w:marRight w:val="0"/>
      <w:marTop w:val="0"/>
      <w:marBottom w:val="0"/>
      <w:divBdr>
        <w:top w:val="none" w:sz="0" w:space="0" w:color="auto"/>
        <w:left w:val="none" w:sz="0" w:space="0" w:color="auto"/>
        <w:bottom w:val="none" w:sz="0" w:space="0" w:color="auto"/>
        <w:right w:val="none" w:sz="0" w:space="0" w:color="auto"/>
      </w:divBdr>
    </w:div>
    <w:div w:id="597837449">
      <w:bodyDiv w:val="1"/>
      <w:marLeft w:val="0"/>
      <w:marRight w:val="0"/>
      <w:marTop w:val="0"/>
      <w:marBottom w:val="0"/>
      <w:divBdr>
        <w:top w:val="none" w:sz="0" w:space="0" w:color="auto"/>
        <w:left w:val="none" w:sz="0" w:space="0" w:color="auto"/>
        <w:bottom w:val="none" w:sz="0" w:space="0" w:color="auto"/>
        <w:right w:val="none" w:sz="0" w:space="0" w:color="auto"/>
      </w:divBdr>
    </w:div>
    <w:div w:id="756950407">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1093086560">
      <w:bodyDiv w:val="1"/>
      <w:marLeft w:val="0"/>
      <w:marRight w:val="0"/>
      <w:marTop w:val="0"/>
      <w:marBottom w:val="0"/>
      <w:divBdr>
        <w:top w:val="none" w:sz="0" w:space="0" w:color="auto"/>
        <w:left w:val="none" w:sz="0" w:space="0" w:color="auto"/>
        <w:bottom w:val="none" w:sz="0" w:space="0" w:color="auto"/>
        <w:right w:val="none" w:sz="0" w:space="0" w:color="auto"/>
      </w:divBdr>
    </w:div>
    <w:div w:id="1238830496">
      <w:bodyDiv w:val="1"/>
      <w:marLeft w:val="0"/>
      <w:marRight w:val="0"/>
      <w:marTop w:val="0"/>
      <w:marBottom w:val="0"/>
      <w:divBdr>
        <w:top w:val="none" w:sz="0" w:space="0" w:color="auto"/>
        <w:left w:val="none" w:sz="0" w:space="0" w:color="auto"/>
        <w:bottom w:val="none" w:sz="0" w:space="0" w:color="auto"/>
        <w:right w:val="none" w:sz="0" w:space="0" w:color="auto"/>
      </w:divBdr>
    </w:div>
    <w:div w:id="1354958953">
      <w:bodyDiv w:val="1"/>
      <w:marLeft w:val="0"/>
      <w:marRight w:val="0"/>
      <w:marTop w:val="0"/>
      <w:marBottom w:val="0"/>
      <w:divBdr>
        <w:top w:val="none" w:sz="0" w:space="0" w:color="auto"/>
        <w:left w:val="none" w:sz="0" w:space="0" w:color="auto"/>
        <w:bottom w:val="none" w:sz="0" w:space="0" w:color="auto"/>
        <w:right w:val="none" w:sz="0" w:space="0" w:color="auto"/>
      </w:divBdr>
    </w:div>
    <w:div w:id="1524438816">
      <w:bodyDiv w:val="1"/>
      <w:marLeft w:val="0"/>
      <w:marRight w:val="0"/>
      <w:marTop w:val="0"/>
      <w:marBottom w:val="0"/>
      <w:divBdr>
        <w:top w:val="none" w:sz="0" w:space="0" w:color="auto"/>
        <w:left w:val="none" w:sz="0" w:space="0" w:color="auto"/>
        <w:bottom w:val="none" w:sz="0" w:space="0" w:color="auto"/>
        <w:right w:val="none" w:sz="0" w:space="0" w:color="auto"/>
      </w:divBdr>
    </w:div>
    <w:div w:id="1663510285">
      <w:bodyDiv w:val="1"/>
      <w:marLeft w:val="0"/>
      <w:marRight w:val="0"/>
      <w:marTop w:val="0"/>
      <w:marBottom w:val="0"/>
      <w:divBdr>
        <w:top w:val="none" w:sz="0" w:space="0" w:color="auto"/>
        <w:left w:val="none" w:sz="0" w:space="0" w:color="auto"/>
        <w:bottom w:val="none" w:sz="0" w:space="0" w:color="auto"/>
        <w:right w:val="none" w:sz="0" w:space="0" w:color="auto"/>
      </w:divBdr>
    </w:div>
    <w:div w:id="1700621628">
      <w:bodyDiv w:val="1"/>
      <w:marLeft w:val="0"/>
      <w:marRight w:val="0"/>
      <w:marTop w:val="0"/>
      <w:marBottom w:val="0"/>
      <w:divBdr>
        <w:top w:val="none" w:sz="0" w:space="0" w:color="auto"/>
        <w:left w:val="none" w:sz="0" w:space="0" w:color="auto"/>
        <w:bottom w:val="none" w:sz="0" w:space="0" w:color="auto"/>
        <w:right w:val="none" w:sz="0" w:space="0" w:color="auto"/>
      </w:divBdr>
    </w:div>
    <w:div w:id="1956406248">
      <w:bodyDiv w:val="1"/>
      <w:marLeft w:val="0"/>
      <w:marRight w:val="0"/>
      <w:marTop w:val="0"/>
      <w:marBottom w:val="0"/>
      <w:divBdr>
        <w:top w:val="none" w:sz="0" w:space="0" w:color="auto"/>
        <w:left w:val="none" w:sz="0" w:space="0" w:color="auto"/>
        <w:bottom w:val="none" w:sz="0" w:space="0" w:color="auto"/>
        <w:right w:val="none" w:sz="0" w:space="0" w:color="auto"/>
      </w:divBdr>
    </w:div>
    <w:div w:id="1965034275">
      <w:bodyDiv w:val="1"/>
      <w:marLeft w:val="0"/>
      <w:marRight w:val="0"/>
      <w:marTop w:val="0"/>
      <w:marBottom w:val="0"/>
      <w:divBdr>
        <w:top w:val="none" w:sz="0" w:space="0" w:color="auto"/>
        <w:left w:val="none" w:sz="0" w:space="0" w:color="auto"/>
        <w:bottom w:val="none" w:sz="0" w:space="0" w:color="auto"/>
        <w:right w:val="none" w:sz="0" w:space="0" w:color="auto"/>
      </w:divBdr>
    </w:div>
    <w:div w:id="20867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8121</Characters>
  <Application>Microsoft Office Word</Application>
  <DocSecurity>4</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WIJNGAARDEN Thomas (EEAS-COTONOU)</dc:creator>
  <cp:lastModifiedBy>Tony KOUTEH</cp:lastModifiedBy>
  <cp:revision>2</cp:revision>
  <cp:lastPrinted>2020-02-07T12:08:00Z</cp:lastPrinted>
  <dcterms:created xsi:type="dcterms:W3CDTF">2020-02-21T13:18:00Z</dcterms:created>
  <dcterms:modified xsi:type="dcterms:W3CDTF">2020-02-21T13:18:00Z</dcterms:modified>
</cp:coreProperties>
</file>